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2749" w14:textId="77777777" w:rsidR="0045725B" w:rsidRDefault="008D58E7">
      <w:pPr>
        <w:tabs>
          <w:tab w:val="left" w:pos="1800"/>
          <w:tab w:val="center" w:pos="4536"/>
          <w:tab w:val="right" w:pos="9070"/>
        </w:tabs>
        <w:ind w:left="1800" w:hanging="1800"/>
        <w:rPr>
          <w:rFonts w:ascii="Arial" w:hAnsi="Arial" w:cs="Arial"/>
          <w:b/>
          <w:bCs/>
          <w:sz w:val="22"/>
          <w:szCs w:val="22"/>
        </w:rPr>
      </w:pPr>
      <w:bookmarkStart w:id="0" w:name="OLE_LINK39"/>
      <w:r>
        <w:rPr>
          <w:rFonts w:ascii="Arial" w:eastAsia="Tahoma" w:hAnsi="Arial" w:cs="Arial"/>
          <w:b/>
          <w:bCs/>
          <w:sz w:val="22"/>
          <w:szCs w:val="22"/>
        </w:rPr>
        <w:t>3GPP TSG-RAN WG</w:t>
      </w:r>
      <w:r>
        <w:rPr>
          <w:rFonts w:ascii="Arial" w:hAnsi="Arial" w:cs="Arial" w:hint="eastAsia"/>
          <w:b/>
          <w:bCs/>
          <w:sz w:val="22"/>
          <w:szCs w:val="22"/>
        </w:rPr>
        <w:t>3</w:t>
      </w:r>
      <w:r>
        <w:rPr>
          <w:rFonts w:ascii="Arial" w:eastAsia="Tahoma" w:hAnsi="Arial" w:cs="Arial"/>
          <w:b/>
          <w:bCs/>
          <w:sz w:val="22"/>
          <w:szCs w:val="22"/>
        </w:rPr>
        <w:t xml:space="preserve"> Meeting #1</w:t>
      </w:r>
      <w:r>
        <w:rPr>
          <w:rFonts w:ascii="Arial" w:hAnsi="Arial" w:cs="Arial"/>
          <w:b/>
          <w:bCs/>
          <w:sz w:val="22"/>
          <w:szCs w:val="22"/>
        </w:rPr>
        <w:t>17</w:t>
      </w:r>
      <w:r>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r>
      <w:r>
        <w:rPr>
          <w:rFonts w:ascii="Arial" w:eastAsia="Tahoma" w:hAnsi="Arial" w:cs="Arial" w:hint="eastAsia"/>
          <w:b/>
          <w:bCs/>
          <w:sz w:val="22"/>
          <w:szCs w:val="22"/>
        </w:rPr>
        <w:t>R3-224344</w:t>
      </w:r>
    </w:p>
    <w:bookmarkEnd w:id="0"/>
    <w:p w14:paraId="69CA0AC9" w14:textId="77777777" w:rsidR="0045725B" w:rsidRDefault="008D58E7">
      <w:pPr>
        <w:pStyle w:val="ad"/>
        <w:tabs>
          <w:tab w:val="clear" w:pos="4536"/>
          <w:tab w:val="left" w:pos="1800"/>
        </w:tabs>
        <w:ind w:left="1800" w:hanging="1800"/>
        <w:jc w:val="both"/>
        <w:rPr>
          <w:rFonts w:eastAsia="宋体"/>
          <w:sz w:val="22"/>
          <w:lang w:eastAsia="zh-CN"/>
        </w:rPr>
      </w:pPr>
      <w:r>
        <w:rPr>
          <w:rFonts w:eastAsia="宋体"/>
          <w:sz w:val="22"/>
          <w:lang w:eastAsia="zh-CN"/>
        </w:rPr>
        <w:t>Online, 15</w:t>
      </w:r>
      <w:r>
        <w:rPr>
          <w:rFonts w:eastAsia="宋体"/>
          <w:sz w:val="22"/>
          <w:vertAlign w:val="superscript"/>
          <w:lang w:eastAsia="zh-CN"/>
        </w:rPr>
        <w:t>th</w:t>
      </w:r>
      <w:r>
        <w:rPr>
          <w:rFonts w:eastAsia="宋体"/>
          <w:sz w:val="22"/>
          <w:lang w:eastAsia="zh-CN"/>
        </w:rPr>
        <w:t xml:space="preserve"> – 24</w:t>
      </w:r>
      <w:r>
        <w:rPr>
          <w:rFonts w:eastAsia="宋体"/>
          <w:sz w:val="22"/>
          <w:vertAlign w:val="superscript"/>
          <w:lang w:eastAsia="zh-CN"/>
        </w:rPr>
        <w:t>th</w:t>
      </w:r>
      <w:r>
        <w:rPr>
          <w:rFonts w:eastAsia="宋体"/>
          <w:sz w:val="22"/>
          <w:lang w:eastAsia="zh-CN"/>
        </w:rPr>
        <w:t xml:space="preserve"> </w:t>
      </w:r>
      <w:r>
        <w:rPr>
          <w:rFonts w:eastAsia="宋体" w:hint="eastAsia"/>
          <w:sz w:val="22"/>
          <w:lang w:eastAsia="zh-CN"/>
        </w:rPr>
        <w:t>Aug</w:t>
      </w:r>
      <w:r>
        <w:rPr>
          <w:rFonts w:eastAsia="宋体"/>
          <w:sz w:val="22"/>
          <w:lang w:eastAsia="zh-CN"/>
        </w:rPr>
        <w:t>. 202</w:t>
      </w:r>
      <w:r>
        <w:rPr>
          <w:rFonts w:eastAsia="宋体" w:hint="eastAsia"/>
          <w:sz w:val="22"/>
          <w:lang w:eastAsia="zh-CN"/>
        </w:rPr>
        <w:t>2</w:t>
      </w:r>
    </w:p>
    <w:p w14:paraId="070CB71C" w14:textId="77777777" w:rsidR="0045725B" w:rsidRDefault="008D58E7">
      <w:pPr>
        <w:pStyle w:val="ad"/>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D96AD7" w14:textId="77777777" w:rsidR="0045725B" w:rsidRDefault="008D58E7">
      <w:pPr>
        <w:pStyle w:val="ad"/>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t xml:space="preserve">Subsequent CPC/CPA after </w:t>
      </w:r>
      <w:proofErr w:type="spellStart"/>
      <w:r>
        <w:rPr>
          <w:bCs/>
          <w:sz w:val="21"/>
          <w:szCs w:val="21"/>
        </w:rPr>
        <w:t>PSCell</w:t>
      </w:r>
      <w:proofErr w:type="spellEnd"/>
      <w:r>
        <w:rPr>
          <w:rFonts w:eastAsia="宋体" w:hint="eastAsia"/>
          <w:bCs/>
          <w:sz w:val="21"/>
          <w:szCs w:val="21"/>
          <w:lang w:eastAsia="zh-CN"/>
        </w:rPr>
        <w:t xml:space="preserve"> Change</w:t>
      </w:r>
    </w:p>
    <w:p w14:paraId="68E48063" w14:textId="77777777" w:rsidR="0045725B" w:rsidRDefault="008D58E7">
      <w:pPr>
        <w:pStyle w:val="ad"/>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14</w:t>
      </w:r>
      <w:r>
        <w:rPr>
          <w:rFonts w:eastAsia="宋体"/>
          <w:sz w:val="22"/>
          <w:lang w:eastAsia="zh-CN"/>
        </w:rPr>
        <w:t>.</w:t>
      </w:r>
      <w:r>
        <w:rPr>
          <w:rFonts w:eastAsia="宋体" w:hint="eastAsia"/>
          <w:sz w:val="22"/>
          <w:lang w:eastAsia="zh-CN"/>
        </w:rPr>
        <w:t>4</w:t>
      </w:r>
    </w:p>
    <w:p w14:paraId="211E3E58" w14:textId="77777777" w:rsidR="0045725B" w:rsidRDefault="008D58E7">
      <w:pPr>
        <w:pStyle w:val="ad"/>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204A6A6C" w14:textId="77777777" w:rsidR="0045725B" w:rsidRDefault="008D58E7">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61E16A67" w14:textId="77777777" w:rsidR="0045725B" w:rsidRDefault="008D58E7">
      <w:pPr>
        <w:jc w:val="both"/>
        <w:rPr>
          <w:bCs/>
          <w:sz w:val="21"/>
          <w:szCs w:val="21"/>
        </w:rPr>
      </w:pPr>
      <w:r>
        <w:rPr>
          <w:bCs/>
          <w:sz w:val="21"/>
          <w:szCs w:val="21"/>
        </w:rPr>
        <w:t>In Rel</w:t>
      </w:r>
      <w:r>
        <w:rPr>
          <w:rFonts w:hint="eastAsia"/>
          <w:bCs/>
          <w:sz w:val="21"/>
          <w:szCs w:val="21"/>
        </w:rPr>
        <w:t>-</w:t>
      </w:r>
      <w:r>
        <w:rPr>
          <w:bCs/>
          <w:sz w:val="21"/>
          <w:szCs w:val="21"/>
        </w:rPr>
        <w:t xml:space="preserve">17, a CPC/CPA-configured UE has to release the CPC/CPA configurations when completing random access towards the target </w:t>
      </w:r>
      <w:proofErr w:type="spellStart"/>
      <w:r>
        <w:rPr>
          <w:bCs/>
          <w:sz w:val="21"/>
          <w:szCs w:val="21"/>
        </w:rPr>
        <w:t>PSCell</w:t>
      </w:r>
      <w:proofErr w:type="spellEnd"/>
      <w:r>
        <w:rPr>
          <w:bCs/>
          <w:sz w:val="21"/>
          <w:szCs w:val="21"/>
        </w:rPr>
        <w:t>. Hence the UE doesn’t have a chance to perform subsequent</w:t>
      </w:r>
      <w:r>
        <w:rPr>
          <w:rFonts w:hint="eastAsia"/>
          <w:bCs/>
          <w:sz w:val="21"/>
          <w:szCs w:val="21"/>
        </w:rPr>
        <w:t xml:space="preserve"> </w:t>
      </w:r>
      <w:r>
        <w:rPr>
          <w:bCs/>
          <w:sz w:val="21"/>
          <w:szCs w:val="21"/>
        </w:rPr>
        <w:t>CPC/CPA without prior CPC/CPA reconfiguration and re-initialization from the network</w:t>
      </w:r>
      <w:r>
        <w:rPr>
          <w:rFonts w:hint="eastAsia"/>
          <w:bCs/>
          <w:sz w:val="21"/>
          <w:szCs w:val="21"/>
        </w:rPr>
        <w:t xml:space="preserve"> </w:t>
      </w:r>
      <w:r>
        <w:rPr>
          <w:bCs/>
          <w:sz w:val="21"/>
          <w:szCs w:val="21"/>
        </w:rPr>
        <w:t>after SCG change. This will increase the</w:t>
      </w:r>
      <w:r>
        <w:rPr>
          <w:rFonts w:hint="eastAsia"/>
          <w:bCs/>
          <w:sz w:val="21"/>
          <w:szCs w:val="21"/>
        </w:rPr>
        <w:t xml:space="preserve"> </w:t>
      </w:r>
      <w:r>
        <w:rPr>
          <w:bCs/>
          <w:sz w:val="21"/>
          <w:szCs w:val="21"/>
        </w:rPr>
        <w:t>delay for the cell change and increase the signaling overhead</w:t>
      </w:r>
      <w:r>
        <w:rPr>
          <w:rFonts w:hint="eastAsia"/>
          <w:bCs/>
          <w:sz w:val="21"/>
          <w:szCs w:val="21"/>
        </w:rPr>
        <w:t xml:space="preserve">. </w:t>
      </w:r>
    </w:p>
    <w:p w14:paraId="1FBBE1F6" w14:textId="77777777" w:rsidR="0045725B" w:rsidRDefault="008D58E7">
      <w:pPr>
        <w:jc w:val="both"/>
        <w:rPr>
          <w:bCs/>
          <w:sz w:val="21"/>
          <w:szCs w:val="21"/>
        </w:rPr>
      </w:pPr>
      <w:r>
        <w:rPr>
          <w:rFonts w:hint="eastAsia"/>
          <w:bCs/>
          <w:sz w:val="21"/>
          <w:szCs w:val="21"/>
        </w:rPr>
        <w:t xml:space="preserve">To handle this issue, it was agreed </w:t>
      </w:r>
      <w:r>
        <w:rPr>
          <w:bCs/>
          <w:sz w:val="21"/>
          <w:szCs w:val="21"/>
        </w:rPr>
        <w:t>in RAN#96-e</w:t>
      </w:r>
      <w:r>
        <w:rPr>
          <w:rFonts w:hint="eastAsia"/>
          <w:bCs/>
          <w:sz w:val="21"/>
          <w:szCs w:val="21"/>
        </w:rPr>
        <w:t xml:space="preserve"> to specify the </w:t>
      </w:r>
      <w:r>
        <w:rPr>
          <w:bCs/>
          <w:sz w:val="21"/>
          <w:szCs w:val="21"/>
        </w:rPr>
        <w:t xml:space="preserve">mechanism </w:t>
      </w:r>
      <w:r>
        <w:rPr>
          <w:rFonts w:hint="eastAsia"/>
          <w:bCs/>
          <w:sz w:val="21"/>
          <w:szCs w:val="21"/>
        </w:rPr>
        <w:t>that</w:t>
      </w:r>
      <w:r>
        <w:rPr>
          <w:bCs/>
          <w:sz w:val="21"/>
          <w:szCs w:val="21"/>
        </w:rPr>
        <w:t xml:space="preserve"> aims at enabling</w:t>
      </w:r>
      <w:r>
        <w:rPr>
          <w:rFonts w:hint="eastAsia"/>
          <w:bCs/>
          <w:sz w:val="21"/>
          <w:szCs w:val="21"/>
        </w:rPr>
        <w:t xml:space="preserve"> </w:t>
      </w:r>
      <w:r>
        <w:rPr>
          <w:bCs/>
          <w:sz w:val="21"/>
          <w:szCs w:val="21"/>
        </w:rPr>
        <w:t>subsequent CPC/CPA after SCG change, without reconfiguration and re-initialization on the CPC/CPA</w:t>
      </w:r>
      <w:r>
        <w:rPr>
          <w:rFonts w:hint="eastAsia"/>
          <w:bCs/>
          <w:sz w:val="21"/>
          <w:szCs w:val="21"/>
        </w:rPr>
        <w:t xml:space="preserve"> </w:t>
      </w:r>
      <w:r>
        <w:rPr>
          <w:bCs/>
          <w:sz w:val="21"/>
          <w:szCs w:val="21"/>
        </w:rPr>
        <w:t>preparation from the network</w:t>
      </w:r>
      <w:r>
        <w:rPr>
          <w:rFonts w:hint="eastAsia"/>
          <w:bCs/>
          <w:sz w:val="21"/>
          <w:szCs w:val="21"/>
        </w:rPr>
        <w:t>.</w:t>
      </w:r>
      <w:r>
        <w:rPr>
          <w:bCs/>
          <w:sz w:val="21"/>
          <w:szCs w:val="21"/>
        </w:rPr>
        <w:t xml:space="preserve"> </w:t>
      </w:r>
      <w:r>
        <w:rPr>
          <w:rFonts w:hint="eastAsia"/>
          <w:bCs/>
          <w:sz w:val="21"/>
          <w:szCs w:val="21"/>
        </w:rPr>
        <w:t>T</w:t>
      </w:r>
      <w:r>
        <w:rPr>
          <w:bCs/>
          <w:sz w:val="21"/>
          <w:szCs w:val="21"/>
        </w:rPr>
        <w:t xml:space="preserve">he objective is </w:t>
      </w:r>
      <w:proofErr w:type="gramStart"/>
      <w:r>
        <w:rPr>
          <w:bCs/>
          <w:sz w:val="21"/>
          <w:szCs w:val="21"/>
        </w:rPr>
        <w:t>following[</w:t>
      </w:r>
      <w:proofErr w:type="gramEnd"/>
      <w:r>
        <w:rPr>
          <w:bCs/>
          <w:sz w:val="21"/>
          <w:szCs w:val="21"/>
        </w:rPr>
        <w:t>1]:</w:t>
      </w:r>
    </w:p>
    <w:tbl>
      <w:tblPr>
        <w:tblStyle w:val="af1"/>
        <w:tblW w:w="0" w:type="auto"/>
        <w:tblLook w:val="04A0" w:firstRow="1" w:lastRow="0" w:firstColumn="1" w:lastColumn="0" w:noHBand="0" w:noVBand="1"/>
      </w:tblPr>
      <w:tblGrid>
        <w:gridCol w:w="9062"/>
      </w:tblGrid>
      <w:tr w:rsidR="0045725B" w14:paraId="290BB663" w14:textId="77777777">
        <w:tc>
          <w:tcPr>
            <w:tcW w:w="9288" w:type="dxa"/>
          </w:tcPr>
          <w:p w14:paraId="05D86D77" w14:textId="77777777" w:rsidR="0045725B" w:rsidRDefault="008D58E7">
            <w:pPr>
              <w:ind w:left="360"/>
              <w:jc w:val="both"/>
              <w:rPr>
                <w:bCs/>
                <w:sz w:val="21"/>
                <w:szCs w:val="21"/>
              </w:rPr>
            </w:pPr>
            <w:r>
              <w:rPr>
                <w:rFonts w:hint="eastAsia"/>
                <w:bCs/>
                <w:sz w:val="21"/>
                <w:szCs w:val="21"/>
              </w:rPr>
              <w:t xml:space="preserve">2. </w:t>
            </w:r>
            <w:r>
              <w:rPr>
                <w:bCs/>
                <w:sz w:val="21"/>
                <w:szCs w:val="21"/>
              </w:rPr>
              <w:t>To specify mechanism and procedures of NR-DC with selective activation of the cell groups (at least for SCG) via L3 enhancements:</w:t>
            </w:r>
          </w:p>
          <w:p w14:paraId="5AEC3290" w14:textId="77777777" w:rsidR="0045725B" w:rsidRDefault="008D58E7">
            <w:pPr>
              <w:numPr>
                <w:ilvl w:val="0"/>
                <w:numId w:val="5"/>
              </w:numPr>
              <w:jc w:val="both"/>
              <w:rPr>
                <w:bCs/>
                <w:sz w:val="21"/>
                <w:szCs w:val="21"/>
              </w:rPr>
            </w:pPr>
            <w:r>
              <w:rPr>
                <w:bCs/>
                <w:sz w:val="21"/>
                <w:szCs w:val="21"/>
              </w:rPr>
              <w:t>To allow subsequent cell group change after changing CG without reconfiguration and re-initiation of CPC/CPA [RAN2, RAN3, RAN4]</w:t>
            </w:r>
          </w:p>
          <w:p w14:paraId="325CB154" w14:textId="77777777" w:rsidR="0045725B" w:rsidRDefault="008D58E7">
            <w:pPr>
              <w:ind w:left="720"/>
              <w:jc w:val="both"/>
              <w:rPr>
                <w:bCs/>
                <w:sz w:val="21"/>
                <w:szCs w:val="21"/>
              </w:rPr>
            </w:pPr>
            <w:r>
              <w:rPr>
                <w:bCs/>
                <w:i/>
                <w:sz w:val="21"/>
                <w:szCs w:val="21"/>
              </w:rPr>
              <w:t>Note 4: A harmonized</w:t>
            </w:r>
            <w:r>
              <w:rPr>
                <w:rStyle w:val="af3"/>
                <w:sz w:val="21"/>
                <w:szCs w:val="21"/>
              </w:rPr>
              <w:t xml:space="preserve"> RRC modelling approach for objective</w:t>
            </w:r>
            <w:r>
              <w:rPr>
                <w:rStyle w:val="af3"/>
                <w:i w:val="0"/>
                <w:sz w:val="21"/>
                <w:szCs w:val="21"/>
              </w:rPr>
              <w:t>s</w:t>
            </w:r>
            <w:r>
              <w:rPr>
                <w:rStyle w:val="af3"/>
                <w:sz w:val="21"/>
                <w:szCs w:val="21"/>
              </w:rPr>
              <w:t xml:space="preserve"> 1 and 2 could be considered to minimize the workload in RAN2.</w:t>
            </w:r>
          </w:p>
        </w:tc>
      </w:tr>
    </w:tbl>
    <w:p w14:paraId="4160C9C2" w14:textId="33BE5EFF" w:rsidR="0045725B" w:rsidRDefault="00120509">
      <w:pPr>
        <w:jc w:val="both"/>
        <w:rPr>
          <w:bCs/>
          <w:sz w:val="21"/>
          <w:szCs w:val="21"/>
        </w:rPr>
      </w:pPr>
      <w:r>
        <w:rPr>
          <w:bCs/>
          <w:sz w:val="21"/>
          <w:szCs w:val="21"/>
        </w:rPr>
        <w:t>In t</w:t>
      </w:r>
      <w:r w:rsidR="008D58E7" w:rsidRPr="00A629A5">
        <w:rPr>
          <w:rFonts w:hint="eastAsia"/>
          <w:bCs/>
          <w:sz w:val="21"/>
          <w:szCs w:val="21"/>
        </w:rPr>
        <w:t>his paper</w:t>
      </w:r>
      <w:r>
        <w:rPr>
          <w:bCs/>
          <w:sz w:val="21"/>
          <w:szCs w:val="21"/>
        </w:rPr>
        <w:t>, we</w:t>
      </w:r>
      <w:r w:rsidR="008D58E7" w:rsidRPr="00A629A5">
        <w:rPr>
          <w:rFonts w:hint="eastAsia"/>
          <w:bCs/>
          <w:sz w:val="21"/>
          <w:szCs w:val="21"/>
        </w:rPr>
        <w:t xml:space="preserve"> provide our initial thinking on </w:t>
      </w:r>
      <w:r w:rsidR="00A629A5" w:rsidRPr="00A629A5">
        <w:rPr>
          <w:rFonts w:hint="eastAsia"/>
          <w:bCs/>
          <w:sz w:val="21"/>
          <w:szCs w:val="21"/>
        </w:rPr>
        <w:t>the</w:t>
      </w:r>
      <w:r w:rsidR="00A629A5" w:rsidRPr="00A629A5">
        <w:rPr>
          <w:bCs/>
          <w:sz w:val="21"/>
          <w:szCs w:val="21"/>
        </w:rPr>
        <w:t xml:space="preserve"> </w:t>
      </w:r>
      <w:r w:rsidR="008D58E7" w:rsidRPr="00A629A5">
        <w:rPr>
          <w:rFonts w:hint="eastAsia"/>
          <w:bCs/>
          <w:sz w:val="21"/>
          <w:szCs w:val="21"/>
        </w:rPr>
        <w:t xml:space="preserve">issues of supporting subsequent CPC/CPA after </w:t>
      </w:r>
      <w:proofErr w:type="spellStart"/>
      <w:r w:rsidR="008D58E7" w:rsidRPr="00A629A5">
        <w:rPr>
          <w:rFonts w:hint="eastAsia"/>
          <w:bCs/>
          <w:sz w:val="21"/>
          <w:szCs w:val="21"/>
        </w:rPr>
        <w:t>PSCell</w:t>
      </w:r>
      <w:proofErr w:type="spellEnd"/>
      <w:r w:rsidR="008D58E7" w:rsidRPr="00A629A5">
        <w:rPr>
          <w:rFonts w:hint="eastAsia"/>
          <w:bCs/>
          <w:sz w:val="21"/>
          <w:szCs w:val="21"/>
        </w:rPr>
        <w:t xml:space="preserve"> </w:t>
      </w:r>
      <w:r w:rsidR="00A629A5">
        <w:rPr>
          <w:bCs/>
          <w:sz w:val="21"/>
          <w:szCs w:val="21"/>
        </w:rPr>
        <w:t>c</w:t>
      </w:r>
      <w:r w:rsidR="008D58E7" w:rsidRPr="00A629A5">
        <w:rPr>
          <w:rFonts w:hint="eastAsia"/>
          <w:bCs/>
          <w:sz w:val="21"/>
          <w:szCs w:val="21"/>
        </w:rPr>
        <w:t>hange.</w:t>
      </w:r>
    </w:p>
    <w:p w14:paraId="3928F07E" w14:textId="77777777" w:rsidR="0045725B" w:rsidRDefault="008D58E7">
      <w:pPr>
        <w:pStyle w:val="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729EE384" w14:textId="77777777" w:rsidR="0045725B" w:rsidRDefault="008D58E7">
      <w:pPr>
        <w:jc w:val="both"/>
        <w:rPr>
          <w:bCs/>
          <w:sz w:val="21"/>
          <w:szCs w:val="21"/>
        </w:rPr>
      </w:pPr>
      <w:r>
        <w:rPr>
          <w:rFonts w:hint="eastAsia"/>
          <w:bCs/>
          <w:sz w:val="21"/>
          <w:szCs w:val="21"/>
        </w:rPr>
        <w:t xml:space="preserve">It is a typical implementation of NR-DC that </w:t>
      </w:r>
      <w:r w:rsidR="00A629A5">
        <w:rPr>
          <w:bCs/>
          <w:sz w:val="21"/>
          <w:szCs w:val="21"/>
        </w:rPr>
        <w:t xml:space="preserve">the </w:t>
      </w:r>
      <w:r>
        <w:rPr>
          <w:rFonts w:hint="eastAsia"/>
          <w:bCs/>
          <w:sz w:val="21"/>
          <w:szCs w:val="21"/>
        </w:rPr>
        <w:t xml:space="preserve">network configures the gNB with bigger coverage as MN and the gNB with smaller coverage as SN to avoid </w:t>
      </w:r>
      <w:r w:rsidR="00A629A5">
        <w:rPr>
          <w:bCs/>
          <w:sz w:val="21"/>
          <w:szCs w:val="21"/>
        </w:rPr>
        <w:t>frequent</w:t>
      </w:r>
      <w:r>
        <w:rPr>
          <w:rFonts w:hint="eastAsia"/>
          <w:bCs/>
          <w:sz w:val="21"/>
          <w:szCs w:val="21"/>
        </w:rPr>
        <w:t xml:space="preserve"> MN change. </w:t>
      </w:r>
      <w:r w:rsidR="00A629A5">
        <w:rPr>
          <w:bCs/>
          <w:sz w:val="21"/>
          <w:szCs w:val="21"/>
        </w:rPr>
        <w:t>I</w:t>
      </w:r>
      <w:r w:rsidR="00A629A5">
        <w:rPr>
          <w:rFonts w:hint="eastAsia"/>
          <w:bCs/>
          <w:sz w:val="21"/>
          <w:szCs w:val="21"/>
        </w:rPr>
        <w:t>ntra-MN inter-SN mobility</w:t>
      </w:r>
      <w:r w:rsidR="00A629A5">
        <w:rPr>
          <w:bCs/>
          <w:sz w:val="21"/>
          <w:szCs w:val="21"/>
        </w:rPr>
        <w:t xml:space="preserve"> occurs within the coverage of one MN and </w:t>
      </w:r>
      <w:r w:rsidR="00A629A5">
        <w:rPr>
          <w:rFonts w:hint="eastAsia"/>
          <w:bCs/>
          <w:sz w:val="21"/>
          <w:szCs w:val="21"/>
        </w:rPr>
        <w:t>inter-MN inter-SN mobility</w:t>
      </w:r>
      <w:r w:rsidR="00A629A5">
        <w:rPr>
          <w:bCs/>
          <w:sz w:val="21"/>
          <w:szCs w:val="21"/>
        </w:rPr>
        <w:t xml:space="preserve"> occurs only at the coverage between two MNs. Therefore, </w:t>
      </w:r>
      <w:r>
        <w:rPr>
          <w:rFonts w:hint="eastAsia"/>
          <w:bCs/>
          <w:sz w:val="21"/>
          <w:szCs w:val="21"/>
        </w:rPr>
        <w:t>intra-MN inter-SN mobility occurs more frequently than inter-MN inter-SN mobility.</w:t>
      </w:r>
    </w:p>
    <w:p w14:paraId="548B45AC" w14:textId="766773FA" w:rsidR="0045725B" w:rsidRPr="006C5A02" w:rsidRDefault="008D58E7" w:rsidP="006C5A02">
      <w:pPr>
        <w:pStyle w:val="Observation"/>
        <w:numPr>
          <w:ilvl w:val="0"/>
          <w:numId w:val="6"/>
        </w:numPr>
        <w:ind w:left="1701" w:hanging="1701"/>
        <w:rPr>
          <w:lang w:bidi="ar"/>
        </w:rPr>
      </w:pPr>
      <w:r w:rsidRPr="006C5A02">
        <w:rPr>
          <w:rFonts w:ascii="Times New Roman" w:hAnsi="Times New Roman"/>
          <w:lang w:bidi="ar"/>
        </w:rPr>
        <w:t xml:space="preserve">Generally, intra-MN inter-SN mobility occurs more frequently than inter-MN inter-SN mobility. </w:t>
      </w:r>
    </w:p>
    <w:p w14:paraId="65956782" w14:textId="13CDD304" w:rsidR="0045725B" w:rsidRDefault="008D58E7">
      <w:pPr>
        <w:jc w:val="both"/>
        <w:rPr>
          <w:bCs/>
          <w:sz w:val="21"/>
          <w:szCs w:val="21"/>
        </w:rPr>
      </w:pPr>
      <w:r>
        <w:rPr>
          <w:rFonts w:hint="eastAsia"/>
          <w:bCs/>
          <w:sz w:val="21"/>
          <w:szCs w:val="21"/>
        </w:rPr>
        <w:t xml:space="preserve">NR-DC UE uses different security keys to </w:t>
      </w:r>
      <w:r w:rsidR="00A629A5">
        <w:rPr>
          <w:bCs/>
          <w:sz w:val="21"/>
          <w:szCs w:val="21"/>
        </w:rPr>
        <w:t>communicate</w:t>
      </w:r>
      <w:r>
        <w:rPr>
          <w:rFonts w:hint="eastAsia"/>
          <w:bCs/>
          <w:sz w:val="21"/>
          <w:szCs w:val="21"/>
        </w:rPr>
        <w:t xml:space="preserve"> with MN and SN respectively. During </w:t>
      </w:r>
      <w:r w:rsidR="00A629A5">
        <w:rPr>
          <w:bCs/>
          <w:sz w:val="21"/>
          <w:szCs w:val="21"/>
        </w:rPr>
        <w:t>preparing</w:t>
      </w:r>
      <w:r>
        <w:rPr>
          <w:rFonts w:hint="eastAsia"/>
          <w:bCs/>
          <w:sz w:val="21"/>
          <w:szCs w:val="21"/>
        </w:rPr>
        <w:t xml:space="preserve"> </w:t>
      </w:r>
      <w:r w:rsidR="00A629A5">
        <w:rPr>
          <w:bCs/>
          <w:sz w:val="21"/>
          <w:szCs w:val="21"/>
        </w:rPr>
        <w:t xml:space="preserve">one </w:t>
      </w:r>
      <w:r>
        <w:rPr>
          <w:rFonts w:hint="eastAsia"/>
          <w:bCs/>
          <w:sz w:val="21"/>
          <w:szCs w:val="21"/>
        </w:rPr>
        <w:t xml:space="preserve">SN for CPC, the security key to be used by </w:t>
      </w:r>
      <w:r w:rsidR="00A629A5">
        <w:rPr>
          <w:bCs/>
          <w:sz w:val="21"/>
          <w:szCs w:val="21"/>
        </w:rPr>
        <w:t xml:space="preserve">the </w:t>
      </w:r>
      <w:r>
        <w:rPr>
          <w:rFonts w:hint="eastAsia"/>
          <w:bCs/>
          <w:sz w:val="21"/>
          <w:szCs w:val="21"/>
        </w:rPr>
        <w:t xml:space="preserve">SN is indicated by MN via </w:t>
      </w:r>
      <w:r w:rsidR="00A629A5">
        <w:rPr>
          <w:rFonts w:hint="eastAsia"/>
          <w:bCs/>
          <w:sz w:val="21"/>
          <w:szCs w:val="21"/>
        </w:rPr>
        <w:t>the</w:t>
      </w:r>
      <w:r w:rsidR="00A629A5">
        <w:rPr>
          <w:bCs/>
          <w:sz w:val="21"/>
          <w:szCs w:val="21"/>
        </w:rPr>
        <w:t xml:space="preserve"> </w:t>
      </w:r>
      <w:proofErr w:type="spellStart"/>
      <w:r>
        <w:rPr>
          <w:rFonts w:hint="eastAsia"/>
          <w:bCs/>
          <w:sz w:val="21"/>
          <w:szCs w:val="21"/>
        </w:rPr>
        <w:t>Xn</w:t>
      </w:r>
      <w:proofErr w:type="spellEnd"/>
      <w:r>
        <w:rPr>
          <w:rFonts w:hint="eastAsia"/>
          <w:bCs/>
          <w:sz w:val="21"/>
          <w:szCs w:val="21"/>
        </w:rPr>
        <w:t xml:space="preserve"> interface, and the key is only valid when the security key used by MN is not changed. </w:t>
      </w:r>
      <w:r w:rsidR="00A629A5">
        <w:rPr>
          <w:bCs/>
          <w:sz w:val="21"/>
          <w:szCs w:val="21"/>
        </w:rPr>
        <w:t>This</w:t>
      </w:r>
      <w:r>
        <w:rPr>
          <w:rFonts w:hint="eastAsia"/>
          <w:bCs/>
          <w:sz w:val="21"/>
          <w:szCs w:val="21"/>
        </w:rPr>
        <w:t xml:space="preserve"> is because the security key used between UE and SN is derived from the key used between UE and MN. Hence, </w:t>
      </w:r>
      <w:r w:rsidR="00A629A5">
        <w:rPr>
          <w:bCs/>
          <w:sz w:val="21"/>
          <w:szCs w:val="21"/>
        </w:rPr>
        <w:t>an</w:t>
      </w:r>
      <w:r>
        <w:rPr>
          <w:rFonts w:hint="eastAsia"/>
          <w:bCs/>
          <w:sz w:val="21"/>
          <w:szCs w:val="21"/>
        </w:rPr>
        <w:t xml:space="preserve"> SN should be re-prepared for CPC after the security key used by MN</w:t>
      </w:r>
      <w:r w:rsidR="00A629A5">
        <w:rPr>
          <w:bCs/>
          <w:sz w:val="21"/>
          <w:szCs w:val="21"/>
        </w:rPr>
        <w:t xml:space="preserve"> </w:t>
      </w:r>
      <w:r>
        <w:rPr>
          <w:rFonts w:hint="eastAsia"/>
          <w:bCs/>
          <w:sz w:val="21"/>
          <w:szCs w:val="21"/>
        </w:rPr>
        <w:t xml:space="preserve">is </w:t>
      </w:r>
      <w:proofErr w:type="gramStart"/>
      <w:r>
        <w:rPr>
          <w:rFonts w:hint="eastAsia"/>
          <w:bCs/>
          <w:sz w:val="21"/>
          <w:szCs w:val="21"/>
        </w:rPr>
        <w:t>changed</w:t>
      </w:r>
      <w:r w:rsidR="00A629A5">
        <w:rPr>
          <w:rFonts w:hint="eastAsia"/>
          <w:bCs/>
          <w:sz w:val="21"/>
          <w:szCs w:val="21"/>
        </w:rPr>
        <w:t>(</w:t>
      </w:r>
      <w:proofErr w:type="gramEnd"/>
      <w:r w:rsidR="00A629A5">
        <w:rPr>
          <w:rFonts w:hint="eastAsia"/>
          <w:bCs/>
          <w:sz w:val="21"/>
          <w:szCs w:val="21"/>
        </w:rPr>
        <w:t xml:space="preserve">e.g. caused by inter-MN handover) </w:t>
      </w:r>
      <w:r>
        <w:rPr>
          <w:rFonts w:hint="eastAsia"/>
          <w:bCs/>
          <w:sz w:val="21"/>
          <w:szCs w:val="21"/>
        </w:rPr>
        <w:t>to refresh the SN security key</w:t>
      </w:r>
      <w:r w:rsidR="00A629A5">
        <w:rPr>
          <w:bCs/>
          <w:sz w:val="21"/>
          <w:szCs w:val="21"/>
        </w:rPr>
        <w:t xml:space="preserve">. The </w:t>
      </w:r>
      <w:r w:rsidR="00A629A5">
        <w:rPr>
          <w:rFonts w:hint="eastAsia"/>
          <w:bCs/>
          <w:sz w:val="21"/>
          <w:szCs w:val="21"/>
        </w:rPr>
        <w:t>re-</w:t>
      </w:r>
      <w:r w:rsidR="00A629A5">
        <w:rPr>
          <w:bCs/>
          <w:sz w:val="21"/>
          <w:szCs w:val="21"/>
        </w:rPr>
        <w:t xml:space="preserve">preparation may </w:t>
      </w:r>
      <w:r>
        <w:rPr>
          <w:rFonts w:hint="eastAsia"/>
          <w:bCs/>
          <w:sz w:val="21"/>
          <w:szCs w:val="21"/>
        </w:rPr>
        <w:t xml:space="preserve">lead to </w:t>
      </w:r>
      <w:r>
        <w:rPr>
          <w:bCs/>
          <w:sz w:val="21"/>
          <w:szCs w:val="21"/>
        </w:rPr>
        <w:t>CPC reconfiguration and re-initialization from the network</w:t>
      </w:r>
      <w:r>
        <w:rPr>
          <w:rFonts w:hint="eastAsia"/>
          <w:bCs/>
          <w:sz w:val="21"/>
          <w:szCs w:val="21"/>
        </w:rPr>
        <w:t xml:space="preserve"> in </w:t>
      </w:r>
      <w:proofErr w:type="spellStart"/>
      <w:r>
        <w:rPr>
          <w:rFonts w:hint="eastAsia"/>
          <w:bCs/>
          <w:sz w:val="21"/>
          <w:szCs w:val="21"/>
        </w:rPr>
        <w:t>Uu</w:t>
      </w:r>
      <w:proofErr w:type="spellEnd"/>
      <w:r w:rsidR="00422C99">
        <w:rPr>
          <w:bCs/>
          <w:sz w:val="21"/>
          <w:szCs w:val="21"/>
        </w:rPr>
        <w:t xml:space="preserve">. </w:t>
      </w:r>
      <w:r w:rsidR="00422C99">
        <w:rPr>
          <w:rFonts w:hint="eastAsia"/>
          <w:bCs/>
          <w:sz w:val="21"/>
          <w:szCs w:val="21"/>
        </w:rPr>
        <w:t>Hence</w:t>
      </w:r>
      <w:r w:rsidR="00422C99">
        <w:rPr>
          <w:bCs/>
          <w:sz w:val="21"/>
          <w:szCs w:val="21"/>
        </w:rPr>
        <w:t xml:space="preserve">, for </w:t>
      </w:r>
      <w:r w:rsidR="00422C99" w:rsidRPr="00422C99">
        <w:rPr>
          <w:bCs/>
          <w:sz w:val="21"/>
          <w:szCs w:val="21"/>
        </w:rPr>
        <w:t xml:space="preserve">the </w:t>
      </w:r>
      <w:r w:rsidR="00422C99" w:rsidRPr="00422C99">
        <w:rPr>
          <w:rFonts w:hint="eastAsia"/>
          <w:bCs/>
          <w:sz w:val="21"/>
          <w:szCs w:val="21"/>
        </w:rPr>
        <w:t>inter-MN inter-SN mobility</w:t>
      </w:r>
      <w:r w:rsidR="00422C99" w:rsidRPr="00422C99">
        <w:rPr>
          <w:bCs/>
          <w:sz w:val="21"/>
          <w:szCs w:val="21"/>
        </w:rPr>
        <w:t xml:space="preserve"> case</w:t>
      </w:r>
      <w:r w:rsidR="00422C99">
        <w:rPr>
          <w:bCs/>
          <w:sz w:val="21"/>
          <w:szCs w:val="21"/>
        </w:rPr>
        <w:t xml:space="preserve">, supporting </w:t>
      </w:r>
      <w:r w:rsidR="00422C99" w:rsidRPr="00422C99">
        <w:rPr>
          <w:bCs/>
          <w:sz w:val="21"/>
          <w:szCs w:val="21"/>
        </w:rPr>
        <w:t>s</w:t>
      </w:r>
      <w:r w:rsidR="00422C99" w:rsidRPr="00422C99">
        <w:rPr>
          <w:rFonts w:hint="eastAsia"/>
          <w:bCs/>
          <w:sz w:val="21"/>
          <w:szCs w:val="21"/>
        </w:rPr>
        <w:t xml:space="preserve">ubsequent CPC/CPA after </w:t>
      </w:r>
      <w:proofErr w:type="spellStart"/>
      <w:r w:rsidR="00422C99" w:rsidRPr="00422C99">
        <w:rPr>
          <w:bCs/>
          <w:sz w:val="21"/>
          <w:szCs w:val="21"/>
        </w:rPr>
        <w:t>PSCell</w:t>
      </w:r>
      <w:proofErr w:type="spellEnd"/>
      <w:r w:rsidR="00422C99" w:rsidRPr="00422C99">
        <w:rPr>
          <w:rFonts w:hint="eastAsia"/>
          <w:bCs/>
          <w:sz w:val="21"/>
          <w:szCs w:val="21"/>
        </w:rPr>
        <w:t xml:space="preserve"> </w:t>
      </w:r>
      <w:r w:rsidR="00422C99">
        <w:rPr>
          <w:bCs/>
          <w:sz w:val="21"/>
          <w:szCs w:val="21"/>
        </w:rPr>
        <w:t>c</w:t>
      </w:r>
      <w:r w:rsidR="00422C99" w:rsidRPr="00422C99">
        <w:rPr>
          <w:rFonts w:hint="eastAsia"/>
          <w:bCs/>
          <w:sz w:val="21"/>
          <w:szCs w:val="21"/>
        </w:rPr>
        <w:t>hange</w:t>
      </w:r>
      <w:r w:rsidR="00422C99">
        <w:rPr>
          <w:bCs/>
          <w:sz w:val="21"/>
          <w:szCs w:val="21"/>
        </w:rPr>
        <w:t xml:space="preserve"> without reconfiguration </w:t>
      </w:r>
      <w:r w:rsidR="001E358E">
        <w:rPr>
          <w:rFonts w:hint="eastAsia"/>
          <w:bCs/>
          <w:sz w:val="21"/>
          <w:szCs w:val="21"/>
        </w:rPr>
        <w:t>lead</w:t>
      </w:r>
      <w:r w:rsidR="00422C99">
        <w:rPr>
          <w:bCs/>
          <w:sz w:val="21"/>
          <w:szCs w:val="21"/>
        </w:rPr>
        <w:t>s</w:t>
      </w:r>
      <w:r w:rsidR="001E358E">
        <w:rPr>
          <w:bCs/>
          <w:sz w:val="21"/>
          <w:szCs w:val="21"/>
        </w:rPr>
        <w:t xml:space="preserve"> </w:t>
      </w:r>
      <w:r w:rsidR="001E358E">
        <w:rPr>
          <w:rFonts w:hint="eastAsia"/>
          <w:bCs/>
          <w:sz w:val="21"/>
          <w:szCs w:val="21"/>
        </w:rPr>
        <w:t>to</w:t>
      </w:r>
      <w:r w:rsidR="00422C99">
        <w:rPr>
          <w:bCs/>
          <w:sz w:val="21"/>
          <w:szCs w:val="21"/>
        </w:rPr>
        <w:t xml:space="preserve"> </w:t>
      </w:r>
      <w:r w:rsidR="001E358E">
        <w:rPr>
          <w:bCs/>
          <w:sz w:val="21"/>
          <w:szCs w:val="21"/>
        </w:rPr>
        <w:t xml:space="preserve">a </w:t>
      </w:r>
      <w:r w:rsidR="00422C99">
        <w:rPr>
          <w:bCs/>
          <w:sz w:val="21"/>
          <w:szCs w:val="21"/>
        </w:rPr>
        <w:t>big impact on the security mechanism</w:t>
      </w:r>
      <w:r w:rsidR="00422C99" w:rsidRPr="00422C99">
        <w:rPr>
          <w:bCs/>
          <w:sz w:val="21"/>
          <w:szCs w:val="21"/>
        </w:rPr>
        <w:t>.</w:t>
      </w:r>
    </w:p>
    <w:p w14:paraId="2FB0CCF4" w14:textId="1A26707E" w:rsidR="0045725B" w:rsidRPr="001E358E" w:rsidRDefault="00422C99" w:rsidP="006C5A02">
      <w:pPr>
        <w:pStyle w:val="Observation"/>
        <w:numPr>
          <w:ilvl w:val="0"/>
          <w:numId w:val="6"/>
        </w:numPr>
        <w:ind w:left="1701" w:hanging="1701"/>
        <w:rPr>
          <w:bCs w:val="0"/>
          <w:lang w:bidi="ar"/>
        </w:rPr>
      </w:pPr>
      <w:r w:rsidRPr="006C5A02">
        <w:rPr>
          <w:rFonts w:ascii="Times New Roman" w:hAnsi="Times New Roman"/>
          <w:lang w:bidi="ar"/>
        </w:rPr>
        <w:t xml:space="preserve">For the inter-MN inter-SN mobility case, supporting subsequent CPC/CPA after </w:t>
      </w:r>
      <w:proofErr w:type="spellStart"/>
      <w:r w:rsidRPr="006C5A02">
        <w:rPr>
          <w:rFonts w:ascii="Times New Roman" w:hAnsi="Times New Roman"/>
          <w:lang w:bidi="ar"/>
        </w:rPr>
        <w:t>PSCell</w:t>
      </w:r>
      <w:proofErr w:type="spellEnd"/>
      <w:r w:rsidRPr="006C5A02">
        <w:rPr>
          <w:rFonts w:ascii="Times New Roman" w:hAnsi="Times New Roman"/>
          <w:lang w:bidi="ar"/>
        </w:rPr>
        <w:t xml:space="preserve"> change without reconfiguration </w:t>
      </w:r>
      <w:r w:rsidR="001E358E" w:rsidRPr="001E358E">
        <w:rPr>
          <w:rFonts w:ascii="Times New Roman" w:hAnsi="Times New Roman" w:hint="eastAsia"/>
          <w:lang w:bidi="ar"/>
        </w:rPr>
        <w:t>lead</w:t>
      </w:r>
      <w:r w:rsidR="001E358E" w:rsidRPr="001E358E">
        <w:rPr>
          <w:rFonts w:ascii="Times New Roman" w:hAnsi="Times New Roman"/>
          <w:lang w:bidi="ar"/>
        </w:rPr>
        <w:t xml:space="preserve">s </w:t>
      </w:r>
      <w:r w:rsidR="001E358E" w:rsidRPr="001E358E">
        <w:rPr>
          <w:rFonts w:ascii="Times New Roman" w:hAnsi="Times New Roman" w:hint="eastAsia"/>
          <w:lang w:bidi="ar"/>
        </w:rPr>
        <w:t>to</w:t>
      </w:r>
      <w:r w:rsidR="001E358E" w:rsidRPr="001E358E">
        <w:rPr>
          <w:rFonts w:ascii="Times New Roman" w:hAnsi="Times New Roman"/>
          <w:lang w:bidi="ar"/>
        </w:rPr>
        <w:t xml:space="preserve"> </w:t>
      </w:r>
      <w:r w:rsidRPr="006C5A02">
        <w:rPr>
          <w:rFonts w:ascii="Times New Roman" w:hAnsi="Times New Roman"/>
          <w:lang w:bidi="ar"/>
        </w:rPr>
        <w:t>a big impact on the security mechanism.</w:t>
      </w:r>
    </w:p>
    <w:p w14:paraId="7E660C69" w14:textId="69FD68A4" w:rsidR="0045725B" w:rsidRDefault="00A629A5">
      <w:pPr>
        <w:jc w:val="both"/>
        <w:rPr>
          <w:bCs/>
          <w:sz w:val="21"/>
          <w:szCs w:val="21"/>
        </w:rPr>
      </w:pPr>
      <w:proofErr w:type="gramStart"/>
      <w:r>
        <w:rPr>
          <w:bCs/>
          <w:sz w:val="21"/>
          <w:szCs w:val="21"/>
        </w:rPr>
        <w:t>Taking</w:t>
      </w:r>
      <w:r w:rsidR="008D58E7">
        <w:rPr>
          <w:rFonts w:hint="eastAsia"/>
          <w:bCs/>
          <w:sz w:val="21"/>
          <w:szCs w:val="21"/>
        </w:rPr>
        <w:t xml:space="preserve"> into account</w:t>
      </w:r>
      <w:proofErr w:type="gramEnd"/>
      <w:r w:rsidR="008D58E7">
        <w:rPr>
          <w:rFonts w:hint="eastAsia"/>
          <w:bCs/>
          <w:sz w:val="21"/>
          <w:szCs w:val="21"/>
        </w:rPr>
        <w:t xml:space="preserve"> the observaiton1 and 2, compared with in intra-MN inter-SN mobility scenario, supporting subsequent CPC after </w:t>
      </w:r>
      <w:proofErr w:type="spellStart"/>
      <w:r w:rsidR="008D58E7">
        <w:rPr>
          <w:rFonts w:hint="eastAsia"/>
          <w:bCs/>
          <w:sz w:val="21"/>
          <w:szCs w:val="21"/>
        </w:rPr>
        <w:t>PSCell</w:t>
      </w:r>
      <w:proofErr w:type="spellEnd"/>
      <w:r w:rsidR="008D58E7">
        <w:rPr>
          <w:rFonts w:hint="eastAsia"/>
          <w:bCs/>
          <w:sz w:val="21"/>
          <w:szCs w:val="21"/>
        </w:rPr>
        <w:t xml:space="preserve"> change in inter-MN inter-SN mobility scenario </w:t>
      </w:r>
      <w:r w:rsidR="00422C99">
        <w:rPr>
          <w:bCs/>
          <w:sz w:val="21"/>
          <w:szCs w:val="21"/>
        </w:rPr>
        <w:t xml:space="preserve">may bring less benefit </w:t>
      </w:r>
      <w:r w:rsidR="001E358E">
        <w:rPr>
          <w:bCs/>
          <w:sz w:val="21"/>
          <w:szCs w:val="21"/>
        </w:rPr>
        <w:t>at the cost of</w:t>
      </w:r>
      <w:r w:rsidR="001E358E">
        <w:rPr>
          <w:rFonts w:hint="eastAsia"/>
          <w:bCs/>
          <w:sz w:val="21"/>
          <w:szCs w:val="21"/>
        </w:rPr>
        <w:t xml:space="preserve"> </w:t>
      </w:r>
      <w:r w:rsidR="00422C99">
        <w:rPr>
          <w:bCs/>
          <w:sz w:val="21"/>
          <w:szCs w:val="21"/>
        </w:rPr>
        <w:t>more</w:t>
      </w:r>
      <w:r w:rsidR="008D58E7">
        <w:rPr>
          <w:rFonts w:hint="eastAsia"/>
          <w:bCs/>
          <w:sz w:val="21"/>
          <w:szCs w:val="21"/>
        </w:rPr>
        <w:t xml:space="preserve"> specification work. Similar logic also </w:t>
      </w:r>
      <w:r>
        <w:rPr>
          <w:bCs/>
          <w:sz w:val="21"/>
          <w:szCs w:val="21"/>
        </w:rPr>
        <w:t>exists</w:t>
      </w:r>
      <w:r w:rsidR="008D58E7">
        <w:rPr>
          <w:rFonts w:hint="eastAsia"/>
          <w:bCs/>
          <w:sz w:val="21"/>
          <w:szCs w:val="21"/>
        </w:rPr>
        <w:t xml:space="preserve"> in </w:t>
      </w:r>
      <w:r>
        <w:rPr>
          <w:bCs/>
          <w:sz w:val="21"/>
          <w:szCs w:val="21"/>
        </w:rPr>
        <w:t xml:space="preserve">the </w:t>
      </w:r>
      <w:r w:rsidR="008D58E7">
        <w:rPr>
          <w:rFonts w:hint="eastAsia"/>
          <w:bCs/>
          <w:sz w:val="21"/>
          <w:szCs w:val="21"/>
        </w:rPr>
        <w:t>CPA case. Therefore, we propose:</w:t>
      </w:r>
    </w:p>
    <w:p w14:paraId="2BF726CF" w14:textId="409394DB" w:rsidR="0045725B" w:rsidRPr="001E358E" w:rsidRDefault="008D58E7" w:rsidP="006C5A02">
      <w:pPr>
        <w:pStyle w:val="Proposal"/>
        <w:numPr>
          <w:ilvl w:val="0"/>
          <w:numId w:val="7"/>
        </w:numPr>
        <w:tabs>
          <w:tab w:val="clear" w:pos="1304"/>
        </w:tabs>
        <w:ind w:left="1701" w:hanging="1701"/>
      </w:pPr>
      <w:r w:rsidRPr="006C5A02">
        <w:rPr>
          <w:rFonts w:ascii="Times New Roman" w:eastAsia="宋体" w:hAnsi="Times New Roman"/>
        </w:rPr>
        <w:t>Focus on the intr</w:t>
      </w:r>
      <w:r w:rsidR="00422C99" w:rsidRPr="006C5A02">
        <w:rPr>
          <w:rFonts w:ascii="Times New Roman" w:eastAsia="宋体" w:hAnsi="Times New Roman"/>
        </w:rPr>
        <w:t>a</w:t>
      </w:r>
      <w:r w:rsidRPr="006C5A02">
        <w:rPr>
          <w:rFonts w:ascii="Times New Roman" w:eastAsia="宋体" w:hAnsi="Times New Roman"/>
        </w:rPr>
        <w:t xml:space="preserve">-MN mobility </w:t>
      </w:r>
      <w:r w:rsidR="00422C99" w:rsidRPr="006C5A02">
        <w:rPr>
          <w:rFonts w:ascii="Times New Roman" w:eastAsia="宋体" w:hAnsi="Times New Roman"/>
        </w:rPr>
        <w:t xml:space="preserve">case </w:t>
      </w:r>
      <w:r w:rsidRPr="001E358E">
        <w:rPr>
          <w:rFonts w:ascii="Times New Roman" w:eastAsia="宋体" w:hAnsi="Times New Roman"/>
        </w:rPr>
        <w:t>when we specify subsequent CPC/CPA without reconfiguration and re-initiation of CPC/CPA</w:t>
      </w:r>
      <w:r w:rsidR="00422C99" w:rsidRPr="001E358E">
        <w:rPr>
          <w:rFonts w:ascii="Times New Roman" w:eastAsia="宋体" w:hAnsi="Times New Roman"/>
        </w:rPr>
        <w:t xml:space="preserve"> after the </w:t>
      </w:r>
      <w:proofErr w:type="spellStart"/>
      <w:r w:rsidR="00422C99" w:rsidRPr="001E358E">
        <w:rPr>
          <w:rFonts w:ascii="Times New Roman" w:eastAsia="宋体" w:hAnsi="Times New Roman"/>
        </w:rPr>
        <w:t>PSCell</w:t>
      </w:r>
      <w:proofErr w:type="spellEnd"/>
      <w:r w:rsidR="00422C99" w:rsidRPr="001E358E">
        <w:rPr>
          <w:rFonts w:ascii="Times New Roman" w:eastAsia="宋体" w:hAnsi="Times New Roman"/>
        </w:rPr>
        <w:t xml:space="preserve"> change/release</w:t>
      </w:r>
      <w:r w:rsidRPr="001E358E">
        <w:rPr>
          <w:rFonts w:ascii="Times New Roman" w:eastAsia="宋体" w:hAnsi="Times New Roman"/>
        </w:rPr>
        <w:t>.</w:t>
      </w:r>
    </w:p>
    <w:p w14:paraId="524D34A6" w14:textId="4EC35A70" w:rsidR="0045725B" w:rsidRDefault="008D58E7">
      <w:pPr>
        <w:jc w:val="both"/>
        <w:rPr>
          <w:bCs/>
          <w:sz w:val="21"/>
          <w:szCs w:val="21"/>
        </w:rPr>
      </w:pPr>
      <w:r>
        <w:rPr>
          <w:rFonts w:hint="eastAsia"/>
          <w:bCs/>
          <w:sz w:val="21"/>
          <w:szCs w:val="21"/>
        </w:rPr>
        <w:t xml:space="preserve">In Rel-16/17, the SCG configuration of each candidate SN is generated by the corresponding candidate SN, and the SCG configuration may be generated </w:t>
      </w:r>
      <w:r w:rsidR="00422C99">
        <w:rPr>
          <w:bCs/>
          <w:sz w:val="21"/>
          <w:szCs w:val="21"/>
        </w:rPr>
        <w:t xml:space="preserve">in </w:t>
      </w:r>
      <w:r w:rsidR="001E358E">
        <w:rPr>
          <w:bCs/>
          <w:sz w:val="21"/>
          <w:szCs w:val="21"/>
        </w:rPr>
        <w:t>a</w:t>
      </w:r>
      <w:r w:rsidR="001E358E">
        <w:rPr>
          <w:bCs/>
          <w:sz w:val="21"/>
          <w:szCs w:val="21"/>
        </w:rPr>
        <w:t xml:space="preserve"> </w:t>
      </w:r>
      <w:r w:rsidR="00422C99">
        <w:rPr>
          <w:bCs/>
          <w:sz w:val="21"/>
          <w:szCs w:val="21"/>
        </w:rPr>
        <w:t>format of</w:t>
      </w:r>
      <w:r>
        <w:rPr>
          <w:rFonts w:hint="eastAsia"/>
          <w:bCs/>
          <w:sz w:val="21"/>
          <w:szCs w:val="21"/>
        </w:rPr>
        <w:t xml:space="preserve"> delta configuration. When delta configuration is applied, only the parameters with different values </w:t>
      </w:r>
      <w:r w:rsidR="00422C99">
        <w:rPr>
          <w:bCs/>
          <w:sz w:val="21"/>
          <w:szCs w:val="21"/>
        </w:rPr>
        <w:t>from</w:t>
      </w:r>
      <w:r>
        <w:rPr>
          <w:rFonts w:hint="eastAsia"/>
          <w:bCs/>
          <w:sz w:val="21"/>
          <w:szCs w:val="21"/>
        </w:rPr>
        <w:t xml:space="preserve"> the configuration of serving SN are provided to the UE. Hence, after </w:t>
      </w:r>
      <w:proofErr w:type="spellStart"/>
      <w:r w:rsidR="00422C99" w:rsidRPr="00422C99">
        <w:rPr>
          <w:bCs/>
          <w:sz w:val="21"/>
          <w:szCs w:val="21"/>
        </w:rPr>
        <w:t>PSCell</w:t>
      </w:r>
      <w:proofErr w:type="spellEnd"/>
      <w:r w:rsidR="00422C99" w:rsidRPr="00422C99">
        <w:rPr>
          <w:bCs/>
          <w:sz w:val="21"/>
          <w:szCs w:val="21"/>
        </w:rPr>
        <w:t xml:space="preserve"> </w:t>
      </w:r>
      <w:r>
        <w:rPr>
          <w:rFonts w:hint="eastAsia"/>
          <w:bCs/>
          <w:sz w:val="21"/>
          <w:szCs w:val="21"/>
        </w:rPr>
        <w:t xml:space="preserve">change, the candidate SN should be informed about the configuration of the </w:t>
      </w:r>
      <w:r>
        <w:rPr>
          <w:rFonts w:hint="eastAsia"/>
          <w:bCs/>
          <w:sz w:val="21"/>
          <w:szCs w:val="21"/>
        </w:rPr>
        <w:lastRenderedPageBreak/>
        <w:t xml:space="preserve">target/new serving SCG, to make sure whether the pre-configured </w:t>
      </w:r>
      <w:r w:rsidR="00422C99">
        <w:rPr>
          <w:rFonts w:hint="eastAsia"/>
          <w:bCs/>
          <w:sz w:val="21"/>
          <w:szCs w:val="21"/>
        </w:rPr>
        <w:t xml:space="preserve">delta </w:t>
      </w:r>
      <w:r>
        <w:rPr>
          <w:rFonts w:hint="eastAsia"/>
          <w:bCs/>
          <w:sz w:val="21"/>
          <w:szCs w:val="21"/>
        </w:rPr>
        <w:t>SCG configuration needs to be updated</w:t>
      </w:r>
      <w:r w:rsidR="00422C99">
        <w:rPr>
          <w:bCs/>
          <w:sz w:val="21"/>
          <w:szCs w:val="21"/>
        </w:rPr>
        <w:t xml:space="preserve"> or not</w:t>
      </w:r>
      <w:r>
        <w:rPr>
          <w:rFonts w:hint="eastAsia"/>
          <w:bCs/>
          <w:sz w:val="21"/>
          <w:szCs w:val="21"/>
        </w:rPr>
        <w:t>.</w:t>
      </w:r>
    </w:p>
    <w:p w14:paraId="76E9B478" w14:textId="562C90DB" w:rsidR="0045725B" w:rsidRPr="001E358E" w:rsidRDefault="008D58E7" w:rsidP="006C5A02">
      <w:pPr>
        <w:pStyle w:val="Proposal"/>
        <w:numPr>
          <w:ilvl w:val="0"/>
          <w:numId w:val="7"/>
        </w:numPr>
        <w:tabs>
          <w:tab w:val="clear" w:pos="1304"/>
        </w:tabs>
        <w:ind w:left="1701" w:hanging="1701"/>
      </w:pPr>
      <w:r w:rsidRPr="006C5A02">
        <w:rPr>
          <w:rFonts w:ascii="Times New Roman" w:eastAsia="宋体" w:hAnsi="Times New Roman"/>
        </w:rPr>
        <w:t xml:space="preserve">After </w:t>
      </w:r>
      <w:proofErr w:type="spellStart"/>
      <w:r w:rsidR="00422C99" w:rsidRPr="006C5A02">
        <w:rPr>
          <w:rFonts w:ascii="Times New Roman" w:eastAsia="宋体" w:hAnsi="Times New Roman"/>
        </w:rPr>
        <w:t>PSCell</w:t>
      </w:r>
      <w:proofErr w:type="spellEnd"/>
      <w:r w:rsidR="00422C99" w:rsidRPr="006C5A02">
        <w:rPr>
          <w:rFonts w:ascii="Times New Roman" w:eastAsia="宋体" w:hAnsi="Times New Roman"/>
        </w:rPr>
        <w:t xml:space="preserve"> </w:t>
      </w:r>
      <w:r w:rsidRPr="006C5A02">
        <w:rPr>
          <w:rFonts w:ascii="Times New Roman" w:eastAsia="宋体" w:hAnsi="Times New Roman"/>
        </w:rPr>
        <w:t>change, the candidate SNs</w:t>
      </w:r>
      <w:r w:rsidR="00422C99" w:rsidRPr="006C5A02">
        <w:rPr>
          <w:rFonts w:ascii="Times New Roman" w:eastAsia="宋体" w:hAnsi="Times New Roman"/>
        </w:rPr>
        <w:t xml:space="preserve"> </w:t>
      </w:r>
      <w:r w:rsidRPr="001E358E">
        <w:rPr>
          <w:rFonts w:ascii="Times New Roman" w:eastAsia="宋体" w:hAnsi="Times New Roman"/>
        </w:rPr>
        <w:t>which are already prepared for CPC</w:t>
      </w:r>
      <w:r w:rsidR="00422C99" w:rsidRPr="001E358E">
        <w:rPr>
          <w:rFonts w:ascii="Times New Roman" w:eastAsia="宋体" w:hAnsi="Times New Roman"/>
        </w:rPr>
        <w:t xml:space="preserve"> before the </w:t>
      </w:r>
      <w:proofErr w:type="spellStart"/>
      <w:r w:rsidR="00422C99" w:rsidRPr="001E358E">
        <w:rPr>
          <w:rFonts w:ascii="Times New Roman" w:eastAsia="宋体" w:hAnsi="Times New Roman"/>
        </w:rPr>
        <w:t>PSCell</w:t>
      </w:r>
      <w:proofErr w:type="spellEnd"/>
      <w:r w:rsidR="00422C99" w:rsidRPr="001E358E">
        <w:rPr>
          <w:rFonts w:ascii="Times New Roman" w:eastAsia="宋体" w:hAnsi="Times New Roman"/>
        </w:rPr>
        <w:t xml:space="preserve"> change</w:t>
      </w:r>
      <w:r w:rsidRPr="001E358E">
        <w:rPr>
          <w:rFonts w:ascii="Times New Roman" w:eastAsia="宋体" w:hAnsi="Times New Roman"/>
        </w:rPr>
        <w:t xml:space="preserve">, should be informed about the configuration of the target/new serving SN. </w:t>
      </w:r>
    </w:p>
    <w:p w14:paraId="7EBD5C92" w14:textId="77777777" w:rsidR="0045725B" w:rsidRDefault="0045725B">
      <w:pPr>
        <w:jc w:val="both"/>
        <w:rPr>
          <w:b/>
          <w:sz w:val="21"/>
          <w:szCs w:val="21"/>
        </w:rPr>
      </w:pPr>
    </w:p>
    <w:p w14:paraId="41954C58" w14:textId="0B89D557" w:rsidR="0045725B" w:rsidRDefault="008D58E7">
      <w:pPr>
        <w:jc w:val="both"/>
        <w:rPr>
          <w:bCs/>
          <w:sz w:val="21"/>
          <w:szCs w:val="21"/>
        </w:rPr>
      </w:pPr>
      <w:r>
        <w:rPr>
          <w:rFonts w:hint="eastAsia"/>
          <w:bCs/>
          <w:sz w:val="21"/>
          <w:szCs w:val="21"/>
        </w:rPr>
        <w:t>In Rel-16/17, two types of CPC are specified, i.e. CPC initiated by MN and by source SN. In CPC initiated by source SN, both the candidate SNs and the corresponding execution conditions are decided by source SN.</w:t>
      </w:r>
      <w:r w:rsidR="00422C99">
        <w:rPr>
          <w:bCs/>
          <w:sz w:val="21"/>
          <w:szCs w:val="21"/>
        </w:rPr>
        <w:t xml:space="preserve"> In our understanding</w:t>
      </w:r>
      <w:r>
        <w:rPr>
          <w:rFonts w:hint="eastAsia"/>
          <w:bCs/>
          <w:sz w:val="21"/>
          <w:szCs w:val="21"/>
        </w:rPr>
        <w:t xml:space="preserve">, </w:t>
      </w:r>
      <w:r w:rsidR="001E358E">
        <w:rPr>
          <w:bCs/>
          <w:sz w:val="21"/>
          <w:szCs w:val="21"/>
        </w:rPr>
        <w:t>a</w:t>
      </w:r>
      <w:r w:rsidR="001E358E">
        <w:rPr>
          <w:rFonts w:hint="eastAsia"/>
          <w:bCs/>
          <w:sz w:val="21"/>
          <w:szCs w:val="21"/>
        </w:rPr>
        <w:t xml:space="preserve">fter </w:t>
      </w:r>
      <w:r w:rsidR="001E358E">
        <w:rPr>
          <w:bCs/>
          <w:sz w:val="21"/>
          <w:szCs w:val="21"/>
        </w:rPr>
        <w:t>SN</w:t>
      </w:r>
      <w:r w:rsidR="001E358E">
        <w:rPr>
          <w:rFonts w:hint="eastAsia"/>
          <w:bCs/>
          <w:sz w:val="21"/>
          <w:szCs w:val="21"/>
        </w:rPr>
        <w:t xml:space="preserve"> change</w:t>
      </w:r>
      <w:r w:rsidR="001E358E">
        <w:rPr>
          <w:bCs/>
          <w:sz w:val="21"/>
          <w:szCs w:val="21"/>
        </w:rPr>
        <w:t>,</w:t>
      </w:r>
      <w:r w:rsidR="001E358E">
        <w:rPr>
          <w:rFonts w:hint="eastAsia"/>
          <w:bCs/>
          <w:sz w:val="21"/>
          <w:szCs w:val="21"/>
        </w:rPr>
        <w:t xml:space="preserve"> </w:t>
      </w:r>
      <w:r>
        <w:rPr>
          <w:rFonts w:hint="eastAsia"/>
          <w:bCs/>
          <w:sz w:val="21"/>
          <w:szCs w:val="21"/>
        </w:rPr>
        <w:t xml:space="preserve">the target SN should be informed about which candidate SNs are prepared and the corresponding execution conditions. Otherwise, the target SN may double prepare </w:t>
      </w:r>
      <w:r w:rsidR="00A629A5">
        <w:rPr>
          <w:bCs/>
          <w:sz w:val="21"/>
          <w:szCs w:val="21"/>
        </w:rPr>
        <w:t>an</w:t>
      </w:r>
      <w:r>
        <w:rPr>
          <w:rFonts w:hint="eastAsia"/>
          <w:bCs/>
          <w:sz w:val="21"/>
          <w:szCs w:val="21"/>
        </w:rPr>
        <w:t xml:space="preserve"> SN which has ready </w:t>
      </w:r>
      <w:r w:rsidR="00A629A5">
        <w:rPr>
          <w:bCs/>
          <w:sz w:val="21"/>
          <w:szCs w:val="21"/>
        </w:rPr>
        <w:t>been</w:t>
      </w:r>
      <w:r>
        <w:rPr>
          <w:rFonts w:hint="eastAsia"/>
          <w:bCs/>
          <w:sz w:val="21"/>
          <w:szCs w:val="21"/>
        </w:rPr>
        <w:t xml:space="preserve"> prepared by the source SN or may remove </w:t>
      </w:r>
      <w:r w:rsidR="00120509">
        <w:rPr>
          <w:rFonts w:hint="eastAsia"/>
          <w:bCs/>
          <w:sz w:val="21"/>
          <w:szCs w:val="21"/>
        </w:rPr>
        <w:t>by mistake</w:t>
      </w:r>
      <w:r w:rsidR="00120509">
        <w:rPr>
          <w:rFonts w:hint="eastAsia"/>
          <w:bCs/>
          <w:sz w:val="21"/>
          <w:szCs w:val="21"/>
        </w:rPr>
        <w:t xml:space="preserve"> </w:t>
      </w:r>
      <w:r>
        <w:rPr>
          <w:rFonts w:hint="eastAsia"/>
          <w:bCs/>
          <w:sz w:val="21"/>
          <w:szCs w:val="21"/>
        </w:rPr>
        <w:t xml:space="preserve">a measurement </w:t>
      </w:r>
      <w:r w:rsidR="00120509">
        <w:rPr>
          <w:bCs/>
          <w:sz w:val="21"/>
          <w:szCs w:val="21"/>
        </w:rPr>
        <w:t>object</w:t>
      </w:r>
      <w:r>
        <w:rPr>
          <w:rFonts w:hint="eastAsia"/>
          <w:bCs/>
          <w:sz w:val="21"/>
          <w:szCs w:val="21"/>
        </w:rPr>
        <w:t xml:space="preserve"> </w:t>
      </w:r>
      <w:r w:rsidR="00A629A5">
        <w:rPr>
          <w:bCs/>
          <w:sz w:val="21"/>
          <w:szCs w:val="21"/>
        </w:rPr>
        <w:t>that</w:t>
      </w:r>
      <w:r>
        <w:rPr>
          <w:rFonts w:hint="eastAsia"/>
          <w:bCs/>
          <w:sz w:val="21"/>
          <w:szCs w:val="21"/>
        </w:rPr>
        <w:t xml:space="preserve"> is used </w:t>
      </w:r>
      <w:r w:rsidR="00120509">
        <w:rPr>
          <w:bCs/>
          <w:sz w:val="21"/>
          <w:szCs w:val="21"/>
        </w:rPr>
        <w:t xml:space="preserve">by </w:t>
      </w:r>
      <w:r>
        <w:rPr>
          <w:rFonts w:hint="eastAsia"/>
          <w:bCs/>
          <w:sz w:val="21"/>
          <w:szCs w:val="21"/>
        </w:rPr>
        <w:t xml:space="preserve">the execution conditions configured by the source SN.  </w:t>
      </w:r>
    </w:p>
    <w:p w14:paraId="179E96D3" w14:textId="06BE06B7" w:rsidR="0045725B" w:rsidRPr="001E358E" w:rsidRDefault="00422C99" w:rsidP="006C5A02">
      <w:pPr>
        <w:pStyle w:val="Proposal"/>
        <w:numPr>
          <w:ilvl w:val="0"/>
          <w:numId w:val="7"/>
        </w:numPr>
        <w:tabs>
          <w:tab w:val="clear" w:pos="1304"/>
        </w:tabs>
        <w:ind w:left="1701" w:hanging="1701"/>
      </w:pPr>
      <w:r w:rsidRPr="006C5A02">
        <w:rPr>
          <w:rFonts w:ascii="Times New Roman" w:eastAsia="宋体" w:hAnsi="Times New Roman"/>
        </w:rPr>
        <w:t xml:space="preserve">For CPC initiated by source SN, </w:t>
      </w:r>
      <w:r w:rsidR="008D58E7" w:rsidRPr="006C5A02">
        <w:rPr>
          <w:rFonts w:ascii="Times New Roman" w:eastAsia="宋体" w:hAnsi="Times New Roman"/>
        </w:rPr>
        <w:t xml:space="preserve">the target SN should be informed about </w:t>
      </w:r>
      <w:r w:rsidRPr="001E358E">
        <w:rPr>
          <w:rFonts w:ascii="Times New Roman" w:eastAsia="宋体" w:hAnsi="Times New Roman"/>
        </w:rPr>
        <w:t>the</w:t>
      </w:r>
      <w:r w:rsidR="008D58E7" w:rsidRPr="001E358E">
        <w:rPr>
          <w:rFonts w:ascii="Times New Roman" w:eastAsia="宋体" w:hAnsi="Times New Roman"/>
        </w:rPr>
        <w:t xml:space="preserve"> information of the</w:t>
      </w:r>
      <w:r w:rsidRPr="001E358E">
        <w:rPr>
          <w:rFonts w:ascii="Times New Roman" w:eastAsia="宋体" w:hAnsi="Times New Roman"/>
        </w:rPr>
        <w:t xml:space="preserve"> CPC, including </w:t>
      </w:r>
      <w:r w:rsidR="008D58E7" w:rsidRPr="001E358E">
        <w:rPr>
          <w:rFonts w:ascii="Times New Roman" w:eastAsia="宋体" w:hAnsi="Times New Roman"/>
        </w:rPr>
        <w:t>which candidate SNs are prepared and the corresponding execution conditions.</w:t>
      </w:r>
    </w:p>
    <w:p w14:paraId="3A0CE1BD" w14:textId="77777777" w:rsidR="0045725B" w:rsidRDefault="008D58E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B3CD545" w14:textId="3F84F268" w:rsidR="0045725B" w:rsidRDefault="008D58E7" w:rsidP="00120509">
      <w:pPr>
        <w:jc w:val="both"/>
        <w:rPr>
          <w:bCs/>
          <w:sz w:val="21"/>
          <w:szCs w:val="21"/>
        </w:rPr>
      </w:pPr>
      <w:r>
        <w:rPr>
          <w:rFonts w:hint="eastAsia"/>
          <w:bCs/>
          <w:sz w:val="21"/>
          <w:szCs w:val="21"/>
        </w:rPr>
        <w:t xml:space="preserve">In this contribution, </w:t>
      </w:r>
      <w:r w:rsidR="00120509">
        <w:rPr>
          <w:bCs/>
          <w:sz w:val="21"/>
          <w:szCs w:val="21"/>
        </w:rPr>
        <w:t>we</w:t>
      </w:r>
      <w:r w:rsidR="00120509" w:rsidRPr="00A629A5">
        <w:rPr>
          <w:rFonts w:hint="eastAsia"/>
          <w:bCs/>
          <w:sz w:val="21"/>
          <w:szCs w:val="21"/>
        </w:rPr>
        <w:t xml:space="preserve"> provide our initial thinking on the</w:t>
      </w:r>
      <w:r w:rsidR="00120509" w:rsidRPr="00A629A5">
        <w:rPr>
          <w:bCs/>
          <w:sz w:val="21"/>
          <w:szCs w:val="21"/>
        </w:rPr>
        <w:t xml:space="preserve"> </w:t>
      </w:r>
      <w:r w:rsidR="00120509" w:rsidRPr="00A629A5">
        <w:rPr>
          <w:rFonts w:hint="eastAsia"/>
          <w:bCs/>
          <w:sz w:val="21"/>
          <w:szCs w:val="21"/>
        </w:rPr>
        <w:t xml:space="preserve">issues of supporting subsequent CPC/CPA after </w:t>
      </w:r>
      <w:proofErr w:type="spellStart"/>
      <w:r w:rsidR="00120509" w:rsidRPr="00A629A5">
        <w:rPr>
          <w:rFonts w:hint="eastAsia"/>
          <w:bCs/>
          <w:sz w:val="21"/>
          <w:szCs w:val="21"/>
        </w:rPr>
        <w:t>PSCell</w:t>
      </w:r>
      <w:proofErr w:type="spellEnd"/>
      <w:r w:rsidR="00120509" w:rsidRPr="00A629A5">
        <w:rPr>
          <w:rFonts w:hint="eastAsia"/>
          <w:bCs/>
          <w:sz w:val="21"/>
          <w:szCs w:val="21"/>
        </w:rPr>
        <w:t xml:space="preserve"> </w:t>
      </w:r>
      <w:r w:rsidR="00120509">
        <w:rPr>
          <w:bCs/>
          <w:sz w:val="21"/>
          <w:szCs w:val="21"/>
        </w:rPr>
        <w:t>c</w:t>
      </w:r>
      <w:r w:rsidR="00120509" w:rsidRPr="00A629A5">
        <w:rPr>
          <w:rFonts w:hint="eastAsia"/>
          <w:bCs/>
          <w:sz w:val="21"/>
          <w:szCs w:val="21"/>
        </w:rPr>
        <w:t>hange.</w:t>
      </w:r>
      <w:r w:rsidR="00120509">
        <w:rPr>
          <w:bCs/>
          <w:sz w:val="21"/>
          <w:szCs w:val="21"/>
        </w:rPr>
        <w:t xml:space="preserve"> The </w:t>
      </w:r>
      <w:r>
        <w:rPr>
          <w:bCs/>
          <w:sz w:val="21"/>
          <w:szCs w:val="21"/>
        </w:rPr>
        <w:t xml:space="preserve">observations and </w:t>
      </w:r>
      <w:r>
        <w:rPr>
          <w:rFonts w:hint="eastAsia"/>
          <w:bCs/>
          <w:sz w:val="21"/>
          <w:szCs w:val="21"/>
        </w:rPr>
        <w:t>proposals</w:t>
      </w:r>
      <w:r w:rsidR="00120509">
        <w:rPr>
          <w:bCs/>
          <w:sz w:val="21"/>
          <w:szCs w:val="21"/>
        </w:rPr>
        <w:t xml:space="preserve"> are following</w:t>
      </w:r>
      <w:r>
        <w:rPr>
          <w:rFonts w:hint="eastAsia"/>
          <w:bCs/>
          <w:sz w:val="21"/>
          <w:szCs w:val="21"/>
        </w:rPr>
        <w:t>:</w:t>
      </w:r>
    </w:p>
    <w:bookmarkEnd w:id="4"/>
    <w:bookmarkEnd w:id="5"/>
    <w:p w14:paraId="4BD5C8C1" w14:textId="77777777" w:rsidR="00120509" w:rsidRPr="00120509" w:rsidRDefault="00120509" w:rsidP="00120509">
      <w:pPr>
        <w:pStyle w:val="Observation"/>
        <w:numPr>
          <w:ilvl w:val="0"/>
          <w:numId w:val="11"/>
        </w:numPr>
        <w:ind w:left="1701" w:hanging="1701"/>
        <w:rPr>
          <w:rFonts w:ascii="Times New Roman" w:hAnsi="Times New Roman"/>
          <w:lang w:bidi="ar"/>
        </w:rPr>
      </w:pPr>
      <w:r w:rsidRPr="006C5A02">
        <w:rPr>
          <w:rFonts w:ascii="Times New Roman" w:hAnsi="Times New Roman"/>
          <w:lang w:bidi="ar"/>
        </w:rPr>
        <w:t xml:space="preserve">Generally, intra-MN inter-SN mobility occurs more frequently than inter-MN inter-SN mobility. </w:t>
      </w:r>
    </w:p>
    <w:p w14:paraId="12520A46" w14:textId="77777777" w:rsidR="00120509" w:rsidRPr="00120509" w:rsidRDefault="00120509" w:rsidP="00120509">
      <w:pPr>
        <w:pStyle w:val="Observation"/>
        <w:numPr>
          <w:ilvl w:val="0"/>
          <w:numId w:val="11"/>
        </w:numPr>
        <w:ind w:left="1701" w:hanging="1701"/>
        <w:rPr>
          <w:rFonts w:ascii="Times New Roman" w:hAnsi="Times New Roman"/>
          <w:lang w:bidi="ar"/>
        </w:rPr>
      </w:pPr>
      <w:r w:rsidRPr="006C5A02">
        <w:rPr>
          <w:rFonts w:ascii="Times New Roman" w:hAnsi="Times New Roman"/>
          <w:lang w:bidi="ar"/>
        </w:rPr>
        <w:t xml:space="preserve">For the inter-MN inter-SN mobility case, supporting subsequent CPC/CPA after </w:t>
      </w:r>
      <w:proofErr w:type="spellStart"/>
      <w:r w:rsidRPr="006C5A02">
        <w:rPr>
          <w:rFonts w:ascii="Times New Roman" w:hAnsi="Times New Roman"/>
          <w:lang w:bidi="ar"/>
        </w:rPr>
        <w:t>PSCell</w:t>
      </w:r>
      <w:proofErr w:type="spellEnd"/>
      <w:r w:rsidRPr="006C5A02">
        <w:rPr>
          <w:rFonts w:ascii="Times New Roman" w:hAnsi="Times New Roman"/>
          <w:lang w:bidi="ar"/>
        </w:rPr>
        <w:t xml:space="preserve"> change without reconfiguration </w:t>
      </w:r>
      <w:r w:rsidRPr="001E358E">
        <w:rPr>
          <w:rFonts w:ascii="Times New Roman" w:hAnsi="Times New Roman" w:hint="eastAsia"/>
          <w:lang w:bidi="ar"/>
        </w:rPr>
        <w:t>lead</w:t>
      </w:r>
      <w:r w:rsidRPr="001E358E">
        <w:rPr>
          <w:rFonts w:ascii="Times New Roman" w:hAnsi="Times New Roman"/>
          <w:lang w:bidi="ar"/>
        </w:rPr>
        <w:t xml:space="preserve">s </w:t>
      </w:r>
      <w:r w:rsidRPr="001E358E">
        <w:rPr>
          <w:rFonts w:ascii="Times New Roman" w:hAnsi="Times New Roman" w:hint="eastAsia"/>
          <w:lang w:bidi="ar"/>
        </w:rPr>
        <w:t>to</w:t>
      </w:r>
      <w:r w:rsidRPr="001E358E">
        <w:rPr>
          <w:rFonts w:ascii="Times New Roman" w:hAnsi="Times New Roman"/>
          <w:lang w:bidi="ar"/>
        </w:rPr>
        <w:t xml:space="preserve"> </w:t>
      </w:r>
      <w:r w:rsidRPr="006C5A02">
        <w:rPr>
          <w:rFonts w:ascii="Times New Roman" w:hAnsi="Times New Roman"/>
          <w:lang w:bidi="ar"/>
        </w:rPr>
        <w:t>a big impact on the security mechanism.</w:t>
      </w:r>
    </w:p>
    <w:p w14:paraId="6ECD345A" w14:textId="2C81E17D" w:rsidR="0045725B" w:rsidRPr="006C5A02" w:rsidRDefault="00FD2823" w:rsidP="008D58E7">
      <w:pPr>
        <w:jc w:val="both"/>
        <w:rPr>
          <w:sz w:val="21"/>
          <w:szCs w:val="21"/>
        </w:rPr>
      </w:pPr>
      <w:r w:rsidRPr="006C5A02">
        <w:rPr>
          <w:sz w:val="21"/>
          <w:szCs w:val="21"/>
        </w:rPr>
        <w:t>And</w:t>
      </w:r>
    </w:p>
    <w:p w14:paraId="5D84B9FB" w14:textId="77777777" w:rsidR="00120509" w:rsidRPr="00120509" w:rsidRDefault="00120509" w:rsidP="00120509">
      <w:pPr>
        <w:pStyle w:val="Proposal"/>
        <w:numPr>
          <w:ilvl w:val="0"/>
          <w:numId w:val="10"/>
        </w:numPr>
        <w:tabs>
          <w:tab w:val="clear" w:pos="1304"/>
        </w:tabs>
        <w:ind w:left="1701" w:hanging="1701"/>
        <w:rPr>
          <w:rFonts w:ascii="Times New Roman" w:eastAsia="宋体" w:hAnsi="Times New Roman"/>
        </w:rPr>
      </w:pPr>
      <w:r w:rsidRPr="006C5A02">
        <w:rPr>
          <w:rFonts w:ascii="Times New Roman" w:eastAsia="宋体" w:hAnsi="Times New Roman"/>
        </w:rPr>
        <w:t xml:space="preserve">Focus on the intra-MN mobility case </w:t>
      </w:r>
      <w:r w:rsidRPr="001E358E">
        <w:rPr>
          <w:rFonts w:ascii="Times New Roman" w:eastAsia="宋体" w:hAnsi="Times New Roman"/>
        </w:rPr>
        <w:t xml:space="preserve">when we specify subsequent CPC/CPA without reconfiguration and re-initiation of CPC/CPA after the </w:t>
      </w:r>
      <w:proofErr w:type="spellStart"/>
      <w:r w:rsidRPr="001E358E">
        <w:rPr>
          <w:rFonts w:ascii="Times New Roman" w:eastAsia="宋体" w:hAnsi="Times New Roman"/>
        </w:rPr>
        <w:t>PSCell</w:t>
      </w:r>
      <w:proofErr w:type="spellEnd"/>
      <w:r w:rsidRPr="001E358E">
        <w:rPr>
          <w:rFonts w:ascii="Times New Roman" w:eastAsia="宋体" w:hAnsi="Times New Roman"/>
        </w:rPr>
        <w:t xml:space="preserve"> change/release.</w:t>
      </w:r>
    </w:p>
    <w:p w14:paraId="2D86F87F" w14:textId="77777777" w:rsidR="00120509" w:rsidRPr="00120509" w:rsidRDefault="00120509" w:rsidP="00120509">
      <w:pPr>
        <w:pStyle w:val="Proposal"/>
        <w:numPr>
          <w:ilvl w:val="0"/>
          <w:numId w:val="10"/>
        </w:numPr>
        <w:tabs>
          <w:tab w:val="clear" w:pos="1304"/>
        </w:tabs>
        <w:ind w:left="1701" w:hanging="1701"/>
        <w:rPr>
          <w:rFonts w:ascii="Times New Roman" w:eastAsia="宋体" w:hAnsi="Times New Roman"/>
        </w:rPr>
      </w:pPr>
      <w:r w:rsidRPr="006C5A02">
        <w:rPr>
          <w:rFonts w:ascii="Times New Roman" w:eastAsia="宋体" w:hAnsi="Times New Roman"/>
        </w:rPr>
        <w:t xml:space="preserve">After </w:t>
      </w:r>
      <w:proofErr w:type="spellStart"/>
      <w:r w:rsidRPr="006C5A02">
        <w:rPr>
          <w:rFonts w:ascii="Times New Roman" w:eastAsia="宋体" w:hAnsi="Times New Roman"/>
        </w:rPr>
        <w:t>PSCell</w:t>
      </w:r>
      <w:proofErr w:type="spellEnd"/>
      <w:r w:rsidRPr="006C5A02">
        <w:rPr>
          <w:rFonts w:ascii="Times New Roman" w:eastAsia="宋体" w:hAnsi="Times New Roman"/>
        </w:rPr>
        <w:t xml:space="preserve"> change, the candidate SNs </w:t>
      </w:r>
      <w:r w:rsidRPr="001E358E">
        <w:rPr>
          <w:rFonts w:ascii="Times New Roman" w:eastAsia="宋体" w:hAnsi="Times New Roman"/>
        </w:rPr>
        <w:t xml:space="preserve">which are already prepared for CPC before the </w:t>
      </w:r>
      <w:proofErr w:type="spellStart"/>
      <w:r w:rsidRPr="001E358E">
        <w:rPr>
          <w:rFonts w:ascii="Times New Roman" w:eastAsia="宋体" w:hAnsi="Times New Roman"/>
        </w:rPr>
        <w:t>PSCell</w:t>
      </w:r>
      <w:proofErr w:type="spellEnd"/>
      <w:r w:rsidRPr="001E358E">
        <w:rPr>
          <w:rFonts w:ascii="Times New Roman" w:eastAsia="宋体" w:hAnsi="Times New Roman"/>
        </w:rPr>
        <w:t xml:space="preserve"> change, should be informed about the configuration of the target/new serving SN. </w:t>
      </w:r>
    </w:p>
    <w:p w14:paraId="775ED2A9" w14:textId="77777777" w:rsidR="00120509" w:rsidRPr="00120509" w:rsidRDefault="00120509" w:rsidP="00120509">
      <w:pPr>
        <w:pStyle w:val="Proposal"/>
        <w:numPr>
          <w:ilvl w:val="0"/>
          <w:numId w:val="10"/>
        </w:numPr>
        <w:tabs>
          <w:tab w:val="clear" w:pos="1304"/>
        </w:tabs>
        <w:ind w:left="1701" w:hanging="1701"/>
        <w:rPr>
          <w:rFonts w:ascii="Times New Roman" w:eastAsia="宋体" w:hAnsi="Times New Roman"/>
        </w:rPr>
      </w:pPr>
      <w:r w:rsidRPr="006C5A02">
        <w:rPr>
          <w:rFonts w:ascii="Times New Roman" w:eastAsia="宋体" w:hAnsi="Times New Roman"/>
        </w:rPr>
        <w:t xml:space="preserve">For CPC initiated by source SN, the target SN should be informed about </w:t>
      </w:r>
      <w:r w:rsidRPr="001E358E">
        <w:rPr>
          <w:rFonts w:ascii="Times New Roman" w:eastAsia="宋体" w:hAnsi="Times New Roman"/>
        </w:rPr>
        <w:t xml:space="preserve">the information of the CPC, including which candidate </w:t>
      </w:r>
      <w:bookmarkStart w:id="6" w:name="_GoBack"/>
      <w:bookmarkEnd w:id="6"/>
      <w:r w:rsidRPr="001E358E">
        <w:rPr>
          <w:rFonts w:ascii="Times New Roman" w:eastAsia="宋体" w:hAnsi="Times New Roman"/>
        </w:rPr>
        <w:t>SNs are prepared and the corresponding execution conditions.</w:t>
      </w:r>
    </w:p>
    <w:p w14:paraId="65BBDD8E" w14:textId="77777777" w:rsidR="0045725B" w:rsidRDefault="008D58E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732F90B6" w14:textId="77777777" w:rsidR="0045725B" w:rsidRDefault="008D58E7">
      <w:pPr>
        <w:rPr>
          <w:bCs/>
          <w:sz w:val="21"/>
          <w:szCs w:val="21"/>
        </w:rPr>
      </w:pPr>
      <w:r>
        <w:rPr>
          <w:rFonts w:hint="eastAsia"/>
          <w:bCs/>
          <w:sz w:val="21"/>
          <w:szCs w:val="21"/>
        </w:rPr>
        <w:t>[</w:t>
      </w:r>
      <w:r>
        <w:rPr>
          <w:bCs/>
          <w:sz w:val="21"/>
          <w:szCs w:val="21"/>
        </w:rPr>
        <w:t>1] RP-221799 Revised WID on Further NR mobility enhancements</w:t>
      </w:r>
    </w:p>
    <w:p w14:paraId="02CF8730" w14:textId="77777777" w:rsidR="0045725B" w:rsidRDefault="0045725B">
      <w:pPr>
        <w:autoSpaceDE w:val="0"/>
        <w:autoSpaceDN w:val="0"/>
        <w:adjustRightInd w:val="0"/>
        <w:snapToGrid w:val="0"/>
        <w:spacing w:after="60"/>
        <w:jc w:val="both"/>
        <w:outlineLvl w:val="0"/>
        <w:rPr>
          <w:bCs/>
          <w:sz w:val="21"/>
          <w:szCs w:val="21"/>
        </w:rPr>
      </w:pPr>
    </w:p>
    <w:sectPr w:rsidR="0045725B">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233B9" w14:textId="77777777" w:rsidR="00810A6D" w:rsidRDefault="00810A6D" w:rsidP="00810A6D">
      <w:r>
        <w:separator/>
      </w:r>
    </w:p>
  </w:endnote>
  <w:endnote w:type="continuationSeparator" w:id="0">
    <w:p w14:paraId="4B38E6AF" w14:textId="77777777" w:rsidR="00810A6D" w:rsidRDefault="00810A6D" w:rsidP="0081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43B79" w14:textId="77777777" w:rsidR="00810A6D" w:rsidRDefault="00810A6D" w:rsidP="00810A6D">
      <w:r>
        <w:separator/>
      </w:r>
    </w:p>
  </w:footnote>
  <w:footnote w:type="continuationSeparator" w:id="0">
    <w:p w14:paraId="3765ABDA" w14:textId="77777777" w:rsidR="00810A6D" w:rsidRDefault="00810A6D" w:rsidP="00810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3FF505C"/>
    <w:multiLevelType w:val="multilevel"/>
    <w:tmpl w:val="5101505E"/>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5D1C81"/>
    <w:multiLevelType w:val="multilevel"/>
    <w:tmpl w:val="3AA46647"/>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5101505E"/>
    <w:multiLevelType w:val="multilevel"/>
    <w:tmpl w:val="5101505E"/>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78000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27F75A9"/>
    <w:multiLevelType w:val="multilevel"/>
    <w:tmpl w:val="5101505E"/>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0"/>
  </w:num>
  <w:num w:numId="2">
    <w:abstractNumId w:val="4"/>
  </w:num>
  <w:num w:numId="3">
    <w:abstractNumId w:val="9"/>
  </w:num>
  <w:num w:numId="4">
    <w:abstractNumId w:val="8"/>
  </w:num>
  <w:num w:numId="5">
    <w:abstractNumId w:val="0"/>
  </w:num>
  <w:num w:numId="6">
    <w:abstractNumId w:val="5"/>
  </w:num>
  <w:num w:numId="7">
    <w:abstractNumId w:val="2"/>
  </w:num>
  <w:num w:numId="8">
    <w:abstractNumId w:val="3"/>
  </w:num>
  <w:num w:numId="9">
    <w:abstractNumId w:val="7"/>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0FAKTinFc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509"/>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19C"/>
    <w:rsid w:val="00161337"/>
    <w:rsid w:val="001615C8"/>
    <w:rsid w:val="00161DC1"/>
    <w:rsid w:val="00161E41"/>
    <w:rsid w:val="00161FDB"/>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B65"/>
    <w:rsid w:val="001E2F8C"/>
    <w:rsid w:val="001E339D"/>
    <w:rsid w:val="001E33E5"/>
    <w:rsid w:val="001E3425"/>
    <w:rsid w:val="001E358E"/>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0F3"/>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AF3"/>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D55"/>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080"/>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AE8"/>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676"/>
    <w:rsid w:val="003E6D7B"/>
    <w:rsid w:val="003E6DD3"/>
    <w:rsid w:val="003E75FA"/>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C99"/>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5B"/>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2E"/>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DBC"/>
    <w:rsid w:val="004D2EA9"/>
    <w:rsid w:val="004D2F7D"/>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3AD"/>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A25"/>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605"/>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0F"/>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10"/>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B7FB6"/>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DE"/>
    <w:rsid w:val="006C5A02"/>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01A"/>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B6F"/>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135"/>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189"/>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82"/>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A6D"/>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174"/>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8E7"/>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33"/>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6D8"/>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AA9"/>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A5"/>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574"/>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46F"/>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2B5"/>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0F92"/>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62D"/>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CC4"/>
    <w:rsid w:val="00C27D7B"/>
    <w:rsid w:val="00C27D89"/>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CFF"/>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A2"/>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E70"/>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6A"/>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71C"/>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1BE"/>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823"/>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1EE1168B"/>
    <w:rsid w:val="20185F78"/>
    <w:rsid w:val="23881D84"/>
    <w:rsid w:val="25966EC6"/>
    <w:rsid w:val="2C600250"/>
    <w:rsid w:val="303A6D4C"/>
    <w:rsid w:val="37FE3CC6"/>
    <w:rsid w:val="3BC86F89"/>
    <w:rsid w:val="3E983467"/>
    <w:rsid w:val="44CD7915"/>
    <w:rsid w:val="48802831"/>
    <w:rsid w:val="4E2D40AF"/>
    <w:rsid w:val="4ECE3417"/>
    <w:rsid w:val="51DB2094"/>
    <w:rsid w:val="566C4D17"/>
    <w:rsid w:val="59CE5812"/>
    <w:rsid w:val="5A597F82"/>
    <w:rsid w:val="5D97094C"/>
    <w:rsid w:val="5F265EB2"/>
    <w:rsid w:val="60E03BD8"/>
    <w:rsid w:val="67CA14F0"/>
    <w:rsid w:val="6D6C00EA"/>
    <w:rsid w:val="6DC40958"/>
    <w:rsid w:val="6FE55CC5"/>
    <w:rsid w:val="748A2F8F"/>
    <w:rsid w:val="799F359B"/>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96245"/>
  <w15:docId w15:val="{AB5C7274-6861-4AA5-972B-0C33F5271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8E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lang w:eastAsia="en-US"/>
    </w:rPr>
  </w:style>
  <w:style w:type="paragraph" w:styleId="4">
    <w:name w:val="heading 4"/>
    <w:basedOn w:val="3"/>
    <w:next w:val="a"/>
    <w:qFormat/>
    <w:pPr>
      <w:outlineLvl w:val="3"/>
    </w:pPr>
    <w:rPr>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
    <w:semiHidden/>
    <w:unhideWhenUsed/>
    <w:qFormat/>
    <w:pPr>
      <w:ind w:leftChars="400" w:left="100" w:hangingChars="200" w:hanging="200"/>
      <w:contextualSpacing/>
    </w:pPr>
    <w:rPr>
      <w:sz w:val="20"/>
    </w:rPr>
  </w:style>
  <w:style w:type="paragraph" w:styleId="2">
    <w:name w:val="List 2"/>
    <w:basedOn w:val="a3"/>
    <w:qFormat/>
    <w:pPr>
      <w:numPr>
        <w:numId w:val="1"/>
      </w:numPr>
      <w:spacing w:before="180"/>
    </w:pPr>
    <w:rPr>
      <w:rFonts w:ascii="Arial" w:hAnsi="Arial"/>
      <w:sz w:val="22"/>
      <w:szCs w:val="20"/>
    </w:rPr>
  </w:style>
  <w:style w:type="paragraph" w:styleId="a3">
    <w:name w:val="List"/>
    <w:basedOn w:val="a"/>
    <w:qFormat/>
    <w:pPr>
      <w:spacing w:after="120"/>
      <w:ind w:left="283" w:hanging="283"/>
    </w:pPr>
    <w:rPr>
      <w:sz w:val="20"/>
      <w:lang w:eastAsia="en-US"/>
    </w:rPr>
  </w:style>
  <w:style w:type="paragraph" w:styleId="a4">
    <w:name w:val="caption"/>
    <w:basedOn w:val="a"/>
    <w:next w:val="a"/>
    <w:link w:val="a5"/>
    <w:qFormat/>
    <w:pPr>
      <w:overflowPunct w:val="0"/>
      <w:autoSpaceDE w:val="0"/>
      <w:autoSpaceDN w:val="0"/>
      <w:adjustRightInd w:val="0"/>
      <w:spacing w:before="120" w:after="120"/>
      <w:textAlignment w:val="baseline"/>
    </w:pPr>
    <w:rPr>
      <w:sz w:val="20"/>
      <w:szCs w:val="20"/>
      <w:lang w:val="en-GB" w:eastAsia="en-US"/>
    </w:rPr>
  </w:style>
  <w:style w:type="paragraph" w:styleId="a6">
    <w:name w:val="Document Map"/>
    <w:basedOn w:val="a"/>
    <w:semiHidden/>
    <w:qFormat/>
    <w:pPr>
      <w:shd w:val="clear" w:color="auto" w:fill="000080"/>
      <w:spacing w:after="120"/>
    </w:pPr>
    <w:rPr>
      <w:sz w:val="20"/>
      <w:lang w:eastAsia="en-US"/>
    </w:rPr>
  </w:style>
  <w:style w:type="paragraph" w:styleId="a7">
    <w:name w:val="annotation text"/>
    <w:basedOn w:val="a"/>
    <w:link w:val="a8"/>
    <w:uiPriority w:val="99"/>
    <w:qFormat/>
    <w:pPr>
      <w:spacing w:after="120"/>
    </w:pPr>
    <w:rPr>
      <w:sz w:val="20"/>
      <w:lang w:eastAsia="en-US"/>
    </w:rPr>
  </w:style>
  <w:style w:type="paragraph" w:styleId="a9">
    <w:name w:val="Body Text"/>
    <w:basedOn w:val="a"/>
    <w:link w:val="aa"/>
    <w:qFormat/>
    <w:pPr>
      <w:spacing w:after="120"/>
      <w:jc w:val="both"/>
    </w:pPr>
    <w:rPr>
      <w:rFonts w:eastAsia="MS Mincho"/>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uiPriority w:val="99"/>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31"/>
    <w:qFormat/>
    <w:pPr>
      <w:ind w:leftChars="600" w:left="600"/>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Normal (Web)"/>
    <w:basedOn w:val="a"/>
    <w:uiPriority w:val="99"/>
    <w:semiHidden/>
    <w:unhideWhenUsed/>
    <w:qFormat/>
    <w:pPr>
      <w:spacing w:before="100" w:beforeAutospacing="1" w:after="100" w:afterAutospacing="1"/>
    </w:pPr>
    <w:rPr>
      <w:rFonts w:ascii="宋体" w:hAnsi="宋体" w:cs="宋体"/>
    </w:rPr>
  </w:style>
  <w:style w:type="paragraph" w:styleId="af0">
    <w:name w:val="annotation subject"/>
    <w:basedOn w:val="a7"/>
    <w:next w:val="a7"/>
    <w:semiHidden/>
    <w:qFormat/>
    <w:rPr>
      <w:b/>
      <w:bCs/>
    </w:rPr>
  </w:style>
  <w:style w:type="table" w:styleId="af1">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mphasis"/>
    <w:basedOn w:val="a0"/>
    <w:qFormat/>
    <w:rPr>
      <w:i/>
    </w:rPr>
  </w:style>
  <w:style w:type="character" w:styleId="af4">
    <w:name w:val="Hyperlink"/>
    <w:uiPriority w:val="99"/>
    <w:qFormat/>
    <w:rPr>
      <w:color w:val="0000FF"/>
      <w:u w:val="single"/>
    </w:rPr>
  </w:style>
  <w:style w:type="character" w:styleId="af5">
    <w:name w:val="annotation reference"/>
    <w:basedOn w:val="a0"/>
    <w:qFormat/>
    <w:rPr>
      <w:sz w:val="21"/>
      <w:szCs w:val="21"/>
    </w:rPr>
  </w:style>
  <w:style w:type="character" w:customStyle="1" w:styleId="a5">
    <w:name w:val="题注 字符"/>
    <w:link w:val="a4"/>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9"/>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a">
    <w:name w:val="正文文本 字符"/>
    <w:link w:val="a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6">
    <w:name w:val="List Paragraph"/>
    <w:basedOn w:val="a"/>
    <w:link w:val="af7"/>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3"/>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9"/>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8">
    <w:name w:val="批注文字 字符"/>
    <w:basedOn w:val="a0"/>
    <w:link w:val="a7"/>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eastAsia="宋体" w:hAnsi="宋体"/>
      <w:sz w:val="24"/>
      <w:szCs w:val="24"/>
    </w:rPr>
  </w:style>
  <w:style w:type="character" w:customStyle="1" w:styleId="y2iqfc">
    <w:name w:val="y2iqfc"/>
    <w:basedOn w:val="a0"/>
    <w:qFormat/>
  </w:style>
  <w:style w:type="paragraph" w:customStyle="1" w:styleId="14">
    <w:name w:val="列表段落1"/>
    <w:basedOn w:val="a"/>
    <w:qFormat/>
    <w:pPr>
      <w:spacing w:before="120" w:after="100" w:afterAutospacing="1"/>
      <w:ind w:leftChars="400" w:left="840" w:hanging="720"/>
    </w:pPr>
    <w:rPr>
      <w:rFonts w:ascii="Arial" w:eastAsia="Batang" w:hAnsi="Arial"/>
    </w:rPr>
  </w:style>
  <w:style w:type="paragraph" w:customStyle="1" w:styleId="22">
    <w:name w:val="修订2"/>
    <w:hidden/>
    <w:uiPriority w:val="99"/>
    <w:semiHidden/>
    <w:qFormat/>
    <w:rPr>
      <w:sz w:val="24"/>
      <w:szCs w:val="24"/>
    </w:rPr>
  </w:style>
  <w:style w:type="paragraph" w:customStyle="1" w:styleId="0Maintext">
    <w:name w:val="0 Main text"/>
    <w:basedOn w:val="a"/>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2">
    <w:name w:val="修订3"/>
    <w:hidden/>
    <w:uiPriority w:val="99"/>
    <w:semiHidden/>
    <w:qFormat/>
    <w:rPr>
      <w:sz w:val="24"/>
      <w:szCs w:val="24"/>
    </w:rPr>
  </w:style>
  <w:style w:type="paragraph" w:customStyle="1" w:styleId="41">
    <w:name w:val="修订4"/>
    <w:hidden/>
    <w:uiPriority w:val="99"/>
    <w:semiHidden/>
    <w:qFormat/>
    <w:rPr>
      <w:sz w:val="24"/>
      <w:szCs w:val="24"/>
    </w:rPr>
  </w:style>
  <w:style w:type="paragraph" w:customStyle="1" w:styleId="Normal0">
    <w:name w:val="Normal0"/>
    <w:qFormat/>
    <w:pPr>
      <w:jc w:val="both"/>
    </w:pPr>
    <w:rPr>
      <w:kern w:val="2"/>
      <w:sz w:val="21"/>
      <w:szCs w:val="21"/>
    </w:rPr>
  </w:style>
  <w:style w:type="paragraph" w:customStyle="1" w:styleId="Normal00">
    <w:name w:val="Normal00"/>
    <w:qFormat/>
    <w:pPr>
      <w:jc w:val="both"/>
    </w:pPr>
    <w:rPr>
      <w:kern w:val="2"/>
      <w:sz w:val="21"/>
      <w:szCs w:val="21"/>
    </w:rPr>
  </w:style>
  <w:style w:type="paragraph" w:customStyle="1" w:styleId="Observation">
    <w:name w:val="Observation"/>
    <w:basedOn w:val="a"/>
    <w:qFormat/>
    <w:rsid w:val="00810A6D"/>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IntenseEmphasis1">
    <w:name w:val="Intense Emphasis1"/>
    <w:uiPriority w:val="21"/>
    <w:qFormat/>
    <w:rsid w:val="00810A6D"/>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95F4-AD84-40B8-B0D4-48F88510FE0B}">
  <ds:schemaRefs>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8194d48-cc26-4b7e-909f-baa95c83abfa"/>
    <ds:schemaRef ds:uri="http://www.w3.org/XML/1998/namespace"/>
    <ds:schemaRef ds:uri="http://schemas.microsoft.com/office/2006/metadata/properties"/>
    <ds:schemaRef ds:uri="1c248485-b98a-4513-a581-ff7cb1688d78"/>
    <ds:schemaRef ds:uri="http://purl.org/dc/terms/"/>
  </ds:schemaRefs>
</ds:datastoreItem>
</file>

<file path=customXml/itemProps2.xml><?xml version="1.0" encoding="utf-8"?>
<ds:datastoreItem xmlns:ds="http://schemas.openxmlformats.org/officeDocument/2006/customXml" ds:itemID="{27C8DD67-0735-4C00-8908-84ACEA67D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635BF-ABCA-410C-B8A8-EC328BD70F2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C701AE-0A7C-4A7D-A222-88B51E54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863</Words>
  <Characters>4922</Characters>
  <Application>Microsoft Office Word</Application>
  <DocSecurity>0</DocSecurity>
  <Lines>41</Lines>
  <Paragraphs>11</Paragraphs>
  <ScaleCrop>false</ScaleCrop>
  <Company>vivo</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2</cp:revision>
  <cp:lastPrinted>2020-07-22T11:45:00Z</cp:lastPrinted>
  <dcterms:created xsi:type="dcterms:W3CDTF">2022-08-09T08:01:00Z</dcterms:created>
  <dcterms:modified xsi:type="dcterms:W3CDTF">2022-08-09T08:01:00Z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92D448B865D346299B5C4DB57DC935DC</vt:lpwstr>
  </property>
  <property fmtid="{D5CDD505-2E9C-101B-9397-08002B2CF9AE}" pid="4" name="ContentTypeId">
    <vt:lpwstr>0x01010057CC4845EE989D469C4AF99498678D58</vt:lpwstr>
  </property>
</Properties>
</file>